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A2781" w14:textId="77777777" w:rsidR="00381916" w:rsidRPr="00C560E7" w:rsidRDefault="00000000">
      <w:pPr>
        <w:spacing w:after="60"/>
        <w:jc w:val="center"/>
        <w:rPr>
          <w:color w:val="000000" w:themeColor="text1"/>
        </w:rPr>
      </w:pPr>
      <w:r>
        <w:rPr>
          <w:b/>
          <w:bCs/>
          <w:color w:val="000000" w:themeColor="text1"/>
          <w:sz w:val="32"/>
          <w:szCs w:val="32"/>
        </w:rPr>
        <w:t>Financial Audit Project Instructions</w:t>
      </w:r>
    </w:p>
    <w:p w14:paraId="09B8FF5D" w14:textId="77777777" w:rsidR="005F5F3A" w:rsidRPr="00C560E7" w:rsidRDefault="005F5F3A" w:rsidP="005F5F3A">
      <w:pPr>
        <w:spacing w:after="120" w:line="276" w:lineRule="auto"/>
        <w:rPr>
          <w:color w:val="000000" w:themeColor="text1"/>
        </w:rPr>
      </w:pPr>
      <w:r>
        <w:rPr>
          <w:color w:val="000000" w:themeColor="text1"/>
        </w:rPr>
        <w:t>This Financial Audit project provides materials that emulate real-world audit evidence.  The below steps are to perform audit procedures on the client’s accounts:</w:t>
      </w:r>
    </w:p>
    <w:p w14:paraId="70CB7408" w14:textId="77777777" w:rsidR="00381916" w:rsidRPr="00C560E7" w:rsidRDefault="00C560E7">
      <w:pPr>
        <w:keepNext/>
        <w:spacing w:before="260" w:after="120"/>
        <w:rPr>
          <w:color w:val="000000" w:themeColor="text1"/>
        </w:rPr>
      </w:pPr>
      <w:r>
        <w:rPr>
          <w:b/>
          <w:bCs/>
          <w:color w:val="000000" w:themeColor="text1"/>
          <w:sz w:val="26"/>
          <w:szCs w:val="26"/>
        </w:rPr>
        <w:t>Pre-Audit: Manage Your Evidence (Prepared-by-Client List)</w:t>
      </w:r>
    </w:p>
    <w:p w14:paraId="482F5709"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5B2ABF1F" w14:textId="77777777" w:rsidR="006D5EE0" w:rsidRDefault="00000000">
      <w:pPr>
        <w:spacing w:after="120" w:line="276" w:lineRule="auto"/>
        <w:ind w:left="720"/>
        <w:rPr>
          <w:color w:val="000000" w:themeColor="text1"/>
        </w:rPr>
      </w:pPr>
      <w:r>
        <w:rPr>
          <w:i/>
          <w:iCs/>
          <w:color w:val="000000" w:themeColor="text1"/>
        </w:rPr>
        <w:t>“I am about to assemble and track my prepared-by-client evidence at the start of an audit. Can you help me understand (with reference to the relevant standards, such as PCAOB Auditing Standard §1105 on audit evidence and §1215 on audit documentation) what makes audit evidence sufficient and appropriate, and why evidence obtained from an independent external source is generally more reliable than evidence produced internally by the client? Please explain how an auditor should respond when a requested item comes back missing, late, or superseded, and when such a gap rises to the level of a scope limitation?”</w:t>
      </w:r>
    </w:p>
    <w:p w14:paraId="11F2F3B6" w14:textId="77777777" w:rsidR="00381916" w:rsidRPr="00C560E7" w:rsidRDefault="00000000">
      <w:pPr>
        <w:spacing w:after="100" w:line="276" w:lineRule="auto"/>
        <w:ind w:left="360" w:hanging="360"/>
        <w:rPr>
          <w:color w:val="000000" w:themeColor="text1"/>
        </w:rPr>
      </w:pPr>
      <w:r>
        <w:rPr>
          <w:color w:val="000000" w:themeColor="text1"/>
        </w:rPr>
        <w:t xml:space="preserve">➢  Open </w:t>
      </w:r>
      <w:r>
        <w:rPr>
          <w:b/>
          <w:bCs/>
          <w:color w:val="000000" w:themeColor="text1"/>
        </w:rPr>
        <w:t>PBC_Request_List_YYYY.xlsx</w:t>
      </w:r>
      <w:r>
        <w:rPr>
          <w:color w:val="000000" w:themeColor="text1"/>
        </w:rPr>
        <w:t xml:space="preserve"> in the </w:t>
      </w:r>
      <w:r>
        <w:rPr>
          <w:b/>
          <w:bCs/>
          <w:color w:val="000000" w:themeColor="text1"/>
        </w:rPr>
        <w:t>00_Start_Here</w:t>
      </w:r>
      <w:r>
        <w:rPr>
          <w:color w:val="000000" w:themeColor="text1"/>
        </w:rPr>
        <w:t xml:space="preserve"> folder. This is your prepared-by-client (PBC) request list — the control you use to track every piece of evidence the engagement depends on.</w:t>
      </w:r>
    </w:p>
    <w:p w14:paraId="307C52BA" w14:textId="77777777" w:rsidR="00381916" w:rsidRPr="00C560E7" w:rsidRDefault="00000000">
      <w:pPr>
        <w:spacing w:after="100" w:line="276" w:lineRule="auto"/>
        <w:ind w:left="360" w:hanging="360"/>
        <w:rPr>
          <w:color w:val="000000" w:themeColor="text1"/>
        </w:rPr>
      </w:pPr>
      <w:r>
        <w:rPr>
          <w:color w:val="000000" w:themeColor="text1"/>
        </w:rPr>
        <w:t xml:space="preserve">➢  As you obtain each item, update its </w:t>
      </w:r>
      <w:r>
        <w:rPr>
          <w:b/>
          <w:bCs/>
          <w:color w:val="000000" w:themeColor="text1"/>
        </w:rPr>
        <w:t>Status</w:t>
      </w:r>
      <w:r>
        <w:rPr>
          <w:color w:val="000000" w:themeColor="text1"/>
        </w:rPr>
        <w:t xml:space="preserve">. The </w:t>
      </w:r>
      <w:r>
        <w:rPr>
          <w:b/>
          <w:bCs/>
          <w:color w:val="000000" w:themeColor="text1"/>
        </w:rPr>
        <w:t>Status Check</w:t>
      </w:r>
      <w:r>
        <w:rPr>
          <w:color w:val="000000" w:themeColor="text1"/>
        </w:rPr>
        <w:t xml:space="preserve"> column updates automatically and flags any request that needs follow-up; the completeness summary at the bottom recomputes as you work.</w:t>
      </w:r>
    </w:p>
    <w:p w14:paraId="2C7E7998" w14:textId="77777777" w:rsidR="00381916" w:rsidRPr="00C560E7" w:rsidRDefault="00000000">
      <w:pPr>
        <w:spacing w:after="100" w:line="276" w:lineRule="auto"/>
        <w:ind w:left="360" w:hanging="360"/>
        <w:rPr>
          <w:color w:val="000000" w:themeColor="text1"/>
        </w:rPr>
      </w:pPr>
      <w:r>
        <w:rPr>
          <w:color w:val="000000" w:themeColor="text1"/>
        </w:rPr>
        <w:t>➢  Resolve or document every item that is not “Received - complete.” At least one request may come back incomplete, late, or superseded. Where evidence is missing, note the gap and consider whether it limits the scope of your work or affects your conclusion.</w:t>
      </w:r>
    </w:p>
    <w:p w14:paraId="0B0B95C3" w14:textId="77777777" w:rsidR="00381916" w:rsidRPr="00C560E7" w:rsidRDefault="00000000">
      <w:pPr>
        <w:keepNext/>
        <w:spacing w:before="260" w:after="120"/>
        <w:rPr>
          <w:color w:val="000000" w:themeColor="text1"/>
        </w:rPr>
      </w:pPr>
      <w:r>
        <w:rPr>
          <w:b/>
          <w:bCs/>
          <w:color w:val="000000" w:themeColor="text1"/>
          <w:sz w:val="26"/>
          <w:szCs w:val="26"/>
        </w:rPr>
        <w:t>Step 1: Determine Materiality</w:t>
      </w:r>
    </w:p>
    <w:p w14:paraId="567D0FA3" w14:textId="77777777" w:rsidR="00381916" w:rsidRPr="00C560E7" w:rsidRDefault="00000000">
      <w:pPr>
        <w:spacing w:after="100" w:line="276" w:lineRule="auto"/>
        <w:ind w:left="360" w:hanging="360"/>
        <w:rPr>
          <w:color w:val="000000" w:themeColor="text1"/>
        </w:rPr>
      </w:pPr>
      <w:r>
        <w:rPr>
          <w:color w:val="000000" w:themeColor="text1"/>
        </w:rPr>
        <w:t>➢  Using an AI program, prompt the following:</w:t>
      </w:r>
    </w:p>
    <w:p w14:paraId="16CDCA17" w14:textId="77777777" w:rsidR="00381916" w:rsidRPr="00C560E7" w:rsidRDefault="00000000">
      <w:pPr>
        <w:spacing w:after="120" w:line="276" w:lineRule="auto"/>
        <w:ind w:left="720"/>
        <w:rPr>
          <w:color w:val="000000" w:themeColor="text1"/>
        </w:rPr>
      </w:pPr>
      <w:r>
        <w:rPr>
          <w:i/>
          <w:iCs/>
          <w:color w:val="000000" w:themeColor="text1"/>
        </w:rPr>
        <w:t>“I am about to determine audit materiality as part of the planning phase. Can you help me understand (with reference to the relevant standards, such as PCAOB Auditing Standard §2105) why materiality needs to be calculated prior to commencement of audit procedures and whether events during the audit could change the audit team’s assessment of materiality? Please explain why an auditor may decide to use an income statement or balance sheet base for materiality?”</w:t>
      </w:r>
    </w:p>
    <w:p w14:paraId="6FCEA114" w14:textId="77777777" w:rsidR="00381916" w:rsidRPr="00C560E7" w:rsidRDefault="00000000">
      <w:pPr>
        <w:spacing w:after="100" w:line="276" w:lineRule="auto"/>
        <w:ind w:left="360" w:hanging="360"/>
        <w:rPr>
          <w:color w:val="000000" w:themeColor="text1"/>
        </w:rPr>
      </w:pPr>
      <w:r>
        <w:rPr>
          <w:color w:val="000000" w:themeColor="text1"/>
        </w:rPr>
        <w:t>➢  Based on the information that you received from the AI response, determine a metric for overall materiality. Choose your benchmark (revenues or total assets) and apply a percentage (typically 0.5% to 1% for revenues; 1% to 2% for assets). Document your rationale.</w:t>
      </w:r>
    </w:p>
    <w:p w14:paraId="65067C77" w14:textId="77777777" w:rsidR="00381916" w:rsidRPr="00C560E7" w:rsidRDefault="00000000">
      <w:pPr>
        <w:spacing w:after="100" w:line="276" w:lineRule="auto"/>
        <w:ind w:left="360" w:hanging="360"/>
        <w:rPr>
          <w:color w:val="000000" w:themeColor="text1"/>
        </w:rPr>
      </w:pPr>
      <w:r>
        <w:rPr>
          <w:color w:val="000000" w:themeColor="text1"/>
        </w:rPr>
        <w:t>➢  Performance materiality: Apply a reduction factor (typically 50–75%) to overall materiality to set the threshold below which you will not test individual misstatements.</w:t>
      </w:r>
    </w:p>
    <w:p w14:paraId="44E1D957" w14:textId="77777777" w:rsidR="00381916" w:rsidRPr="00C560E7" w:rsidRDefault="00000000">
      <w:pPr>
        <w:spacing w:after="100" w:line="276" w:lineRule="auto"/>
        <w:ind w:left="360" w:hanging="360"/>
        <w:rPr>
          <w:color w:val="000000" w:themeColor="text1"/>
        </w:rPr>
      </w:pPr>
      <w:r>
        <w:rPr>
          <w:color w:val="000000" w:themeColor="text1"/>
        </w:rPr>
        <w:t>➢  Accumulate: As you complete substantive testing, record each misstatement you identify by financial-statement line item (FSLI) and assess whether the misstatements’ aggregate effect is material. Record your proposed adjustments in the Summary_of_Misstatements tab of Proposed_Adjusting_Entries_YYYY.xlsx, which compares the aggregate to performance and overall materiality. (The Tie_Out_Checks tab confirms the records internally tie out — it is a data-integrity check, not a list of misstatements.)</w:t>
      </w:r>
    </w:p>
    <w:p w14:paraId="275BBEF7" w14:textId="77777777" w:rsidR="00CE7B58" w:rsidRDefault="00CE7B58">
      <w:pPr>
        <w:rPr>
          <w:b/>
          <w:bCs/>
          <w:color w:val="000000" w:themeColor="text1"/>
          <w:sz w:val="26"/>
          <w:szCs w:val="26"/>
        </w:rPr>
      </w:pPr>
      <w:r>
        <w:rPr>
          <w:b/>
          <w:bCs/>
          <w:color w:val="000000" w:themeColor="text1"/>
          <w:sz w:val="26"/>
          <w:szCs w:val="26"/>
        </w:rPr>
        <w:br w:type="page"/>
      </w:r>
    </w:p>
    <w:p w14:paraId="05B9D3D7" w14:textId="77777777" w:rsidR="00381916" w:rsidRPr="00C560E7" w:rsidRDefault="00000000">
      <w:pPr>
        <w:keepNext/>
        <w:spacing w:before="260" w:after="120"/>
        <w:rPr>
          <w:color w:val="000000" w:themeColor="text1"/>
        </w:rPr>
      </w:pPr>
      <w:r>
        <w:rPr>
          <w:b/>
          <w:bCs/>
          <w:color w:val="000000" w:themeColor="text1"/>
          <w:sz w:val="26"/>
          <w:szCs w:val="26"/>
        </w:rPr>
        <w:lastRenderedPageBreak/>
        <w:t>Step 2: Risk Assessment</w:t>
      </w:r>
    </w:p>
    <w:p w14:paraId="450084DF"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3FF62778" w14:textId="77777777" w:rsidR="006D5EE0" w:rsidRDefault="00000000">
      <w:pPr>
        <w:spacing w:after="120" w:line="276" w:lineRule="auto"/>
        <w:ind w:left="720"/>
        <w:rPr>
          <w:color w:val="000000" w:themeColor="text1"/>
        </w:rPr>
      </w:pPr>
      <w:r>
        <w:rPr>
          <w:i/>
          <w:iCs/>
          <w:color w:val="000000" w:themeColor="text1"/>
        </w:rPr>
        <w:t>“I am about to perform risk assessment and analytical review during audit planning. Can you help me understand (with reference to the relevant standards, such as PCAOB Auditing Standard §2110 on identifying and assessing risks of material misstatement and §2305 on substantive analytical procedures) why forming an independent expectation for an account balance is more powerful than simply measuring how much the balance moved year over year? Please explain how my assessed risk of material misstatement at the assertion level should drive the nature, timing, and extent of the procedures I plan in response (AS §2301)?”</w:t>
      </w:r>
    </w:p>
    <w:p w14:paraId="6154F2DE" w14:textId="77777777" w:rsidR="00381916" w:rsidRPr="00C560E7" w:rsidRDefault="00000000">
      <w:pPr>
        <w:spacing w:after="100" w:line="276" w:lineRule="auto"/>
        <w:ind w:left="360" w:hanging="360"/>
        <w:rPr>
          <w:color w:val="000000" w:themeColor="text1"/>
        </w:rPr>
      </w:pPr>
      <w:r>
        <w:rPr>
          <w:color w:val="000000" w:themeColor="text1"/>
        </w:rPr>
        <w:t xml:space="preserve">➢  Open </w:t>
      </w:r>
      <w:r>
        <w:rPr>
          <w:i/>
          <w:iCs/>
          <w:color w:val="000000" w:themeColor="text1"/>
        </w:rPr>
        <w:t>management_representations.pdf</w:t>
      </w:r>
      <w:r>
        <w:rPr>
          <w:color w:val="000000" w:themeColor="text1"/>
        </w:rPr>
        <w:t xml:space="preserve">, </w:t>
      </w:r>
      <w:r>
        <w:rPr>
          <w:i/>
          <w:iCs/>
          <w:color w:val="000000" w:themeColor="text1"/>
        </w:rPr>
        <w:t>prior_year_financials.pdf</w:t>
      </w:r>
      <w:r>
        <w:rPr>
          <w:color w:val="000000" w:themeColor="text1"/>
        </w:rPr>
        <w:t xml:space="preserve">, </w:t>
      </w:r>
      <w:r>
        <w:rPr>
          <w:i/>
          <w:iCs/>
          <w:color w:val="000000" w:themeColor="text1"/>
        </w:rPr>
        <w:t>financial_statements.pdf</w:t>
      </w:r>
      <w:r>
        <w:rPr>
          <w:color w:val="000000" w:themeColor="text1"/>
        </w:rPr>
        <w:t xml:space="preserve">, and </w:t>
      </w:r>
      <w:r>
        <w:rPr>
          <w:i/>
          <w:iCs/>
          <w:color w:val="000000" w:themeColor="text1"/>
        </w:rPr>
        <w:t>Comparative_Financial_Statements_YYYY.xlsx</w:t>
      </w:r>
      <w:r>
        <w:rPr>
          <w:color w:val="000000" w:themeColor="text1"/>
        </w:rPr>
        <w:t>. Read the narrative documents (management_representations.pdf and prior_year_financials.pdf) carefully; then use financial_statements.pdf, Comparative_Financial_Statements_YYYY.xlsx, and Tieout_Workbook_YYYY.xlsx to perform an analytical review. The comparative workbook (Comparative_Income_Stmt and Comparative_Balance_Sheet tabs) is formula-linked and shows each line’s year-over-year change with a REVIEW flag; the Tieout workbook’s Analytical_Review tab computes each line’s expected balance (the prior year grown at the company’s overall revenue growth) and the percentage deviation from that expectation (the Dev_vs_Exp% column).</w:t>
      </w:r>
    </w:p>
    <w:p w14:paraId="12F62B68" w14:textId="77777777" w:rsidR="00381916" w:rsidRPr="00C560E7" w:rsidRDefault="00000000">
      <w:pPr>
        <w:spacing w:after="80" w:line="276" w:lineRule="auto"/>
        <w:ind w:left="1080" w:hanging="360"/>
        <w:rPr>
          <w:color w:val="000000" w:themeColor="text1"/>
        </w:rPr>
      </w:pPr>
      <w:r>
        <w:rPr>
          <w:color w:val="000000" w:themeColor="text1"/>
        </w:rPr>
        <w:t>i. Form an expectation for each line, rather than just measuring how much it moved. Read the overall revenue growth for the year from the comparative (current revenue ÷ prior revenue − 1). Your expected balance for each income-statement and balance-sheet line is the prior-year amount grown at that same rate: Expected = Prior × (1 + revenue growth). The Tieout workbook’s Analytical_Review tab computes this expectation and the deviation from it (the Dev_vs_Exp% column) for you.</w:t>
      </w:r>
    </w:p>
    <w:p w14:paraId="08EBF8D2" w14:textId="77777777" w:rsidR="00381916" w:rsidRPr="00C560E7" w:rsidRDefault="00000000">
      <w:pPr>
        <w:spacing w:after="80" w:line="276" w:lineRule="auto"/>
        <w:ind w:left="1080" w:hanging="360"/>
        <w:rPr>
          <w:color w:val="000000" w:themeColor="text1"/>
        </w:rPr>
      </w:pPr>
      <w:r>
        <w:rPr>
          <w:color w:val="000000" w:themeColor="text1"/>
        </w:rPr>
        <w:t>ii. Flag any line that deviates from its expected balance by more than about 10% and is at least material — ignore immaterial accounts whose balances fall below performance materiality. A line that moved in step with the business (for example, a cost that grew roughly in line with revenue) is not an exception; you are looking for lines that behaved differently from the business as a whole. Note that cash, retained earnings, common equity, notes payable, interest expense, depreciation and accumulated depreciation, and payroll liabilities move for financing-, equity-, or schedule-driven reasons and are tested through their own schedules (the debt schedule, fixed-asset rollforward, equity rollforward, and payroll testing) rather than this financial-statement-level analytical review; the workbook excludes them from the flag accordingly.</w:t>
      </w:r>
    </w:p>
    <w:p w14:paraId="5FB54111" w14:textId="77777777" w:rsidR="00381916" w:rsidRPr="00C560E7" w:rsidRDefault="00000000">
      <w:pPr>
        <w:spacing w:after="80" w:line="276" w:lineRule="auto"/>
        <w:ind w:left="1080" w:hanging="360"/>
        <w:rPr>
          <w:color w:val="000000" w:themeColor="text1"/>
        </w:rPr>
      </w:pPr>
      <w:r>
        <w:rPr>
          <w:color w:val="000000" w:themeColor="text1"/>
        </w:rPr>
        <w:t>iii. For each flagged FSLI, formulate a plausible business explanation. Write one or two sentences documenting whether the explanation is consistent with what you read in the management representations.</w:t>
      </w:r>
    </w:p>
    <w:p w14:paraId="478E0C88" w14:textId="77777777" w:rsidR="00381916" w:rsidRPr="00C560E7" w:rsidRDefault="00000000">
      <w:pPr>
        <w:spacing w:after="80" w:line="276" w:lineRule="auto"/>
        <w:ind w:left="1080" w:hanging="360"/>
        <w:rPr>
          <w:color w:val="000000" w:themeColor="text1"/>
        </w:rPr>
      </w:pPr>
      <w:r>
        <w:rPr>
          <w:color w:val="000000" w:themeColor="text1"/>
        </w:rPr>
        <w:t>iv. Identify the three highest-risk FSLIs. These will be the focus of your detailed substantive testing.</w:t>
      </w:r>
    </w:p>
    <w:p w14:paraId="2F8391B4" w14:textId="77777777" w:rsidR="00381916" w:rsidRPr="00C560E7" w:rsidRDefault="00000000">
      <w:pPr>
        <w:keepNext/>
        <w:spacing w:before="260" w:after="120"/>
        <w:rPr>
          <w:color w:val="000000" w:themeColor="text1"/>
        </w:rPr>
      </w:pPr>
      <w:r>
        <w:rPr>
          <w:b/>
          <w:bCs/>
          <w:color w:val="000000" w:themeColor="text1"/>
          <w:sz w:val="26"/>
          <w:szCs w:val="26"/>
        </w:rPr>
        <w:t>Selecting Samples (applies to Steps 3–9)</w:t>
      </w:r>
    </w:p>
    <w:p w14:paraId="65796720" w14:textId="77777777" w:rsidR="00381916" w:rsidRPr="00C560E7" w:rsidRDefault="00000000">
      <w:pPr>
        <w:spacing w:after="100" w:line="276" w:lineRule="auto"/>
        <w:ind w:left="360" w:hanging="360"/>
        <w:rPr>
          <w:color w:val="000000" w:themeColor="text1"/>
        </w:rPr>
      </w:pPr>
      <w:r>
        <w:rPr>
          <w:color w:val="000000" w:themeColor="text1"/>
        </w:rPr>
        <w:t xml:space="preserve">➢  Open </w:t>
      </w:r>
      <w:r>
        <w:rPr>
          <w:b/>
          <w:bCs/>
          <w:color w:val="000000" w:themeColor="text1"/>
        </w:rPr>
        <w:t>Sampling_Plan_YYYY.xlsx</w:t>
      </w:r>
      <w:r>
        <w:rPr>
          <w:color w:val="000000" w:themeColor="text1"/>
        </w:rPr>
        <w:t xml:space="preserve"> in </w:t>
      </w:r>
      <w:r>
        <w:rPr>
          <w:b/>
          <w:bCs/>
          <w:color w:val="000000" w:themeColor="text1"/>
        </w:rPr>
        <w:t>14_Audit_Workpapers</w:t>
      </w:r>
      <w:r>
        <w:rPr>
          <w:color w:val="000000" w:themeColor="text1"/>
        </w:rPr>
        <w:t>. For each audit area it documents the population, the sampling unit, the selection method (high-value, random, all items over performance materiality, or mixed risk-based), the sample size, the selected items, and the resulting dollar coverage.</w:t>
      </w:r>
    </w:p>
    <w:p w14:paraId="3AC638D4" w14:textId="7BD96860" w:rsidR="00CE7B58" w:rsidRDefault="00000000" w:rsidP="004E41BC">
      <w:pPr>
        <w:spacing w:after="100" w:line="276" w:lineRule="auto"/>
        <w:ind w:left="360" w:hanging="360"/>
        <w:rPr>
          <w:b/>
          <w:bCs/>
          <w:color w:val="000000" w:themeColor="text1"/>
          <w:sz w:val="26"/>
          <w:szCs w:val="26"/>
        </w:rPr>
      </w:pPr>
      <w:r>
        <w:rPr>
          <w:color w:val="000000" w:themeColor="text1"/>
        </w:rPr>
        <w:t>➢  Test the items the plan selects for each area in the steps below. If you decide to change the sample (add, remove, or substitute items), document why on the relevant detail tab. Record the evidence reference and whether an exception was found next to each selected item.</w:t>
      </w:r>
      <w:r w:rsidR="00CE7B58">
        <w:rPr>
          <w:b/>
          <w:bCs/>
          <w:color w:val="000000" w:themeColor="text1"/>
          <w:sz w:val="26"/>
          <w:szCs w:val="26"/>
        </w:rPr>
        <w:br w:type="page"/>
      </w:r>
    </w:p>
    <w:p w14:paraId="617EE0F9" w14:textId="77777777" w:rsidR="00381916" w:rsidRPr="00C560E7" w:rsidRDefault="00000000">
      <w:pPr>
        <w:keepNext/>
        <w:spacing w:before="260" w:after="120"/>
        <w:rPr>
          <w:color w:val="000000" w:themeColor="text1"/>
        </w:rPr>
      </w:pPr>
      <w:r>
        <w:rPr>
          <w:b/>
          <w:bCs/>
          <w:color w:val="000000" w:themeColor="text1"/>
          <w:sz w:val="26"/>
          <w:szCs w:val="26"/>
        </w:rPr>
        <w:lastRenderedPageBreak/>
        <w:t>Step 3: Revenue and Accounts Receivable</w:t>
      </w:r>
    </w:p>
    <w:p w14:paraId="5B89A6FE"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4AD845C0" w14:textId="77777777" w:rsidR="006D5EE0" w:rsidRDefault="00000000">
      <w:pPr>
        <w:spacing w:after="120" w:line="276" w:lineRule="auto"/>
        <w:ind w:left="720"/>
        <w:rPr>
          <w:color w:val="000000" w:themeColor="text1"/>
        </w:rPr>
      </w:pPr>
      <w:r>
        <w:rPr>
          <w:i/>
          <w:iCs/>
          <w:color w:val="000000" w:themeColor="text1"/>
        </w:rPr>
        <w:t>“I am about to test revenue and accounts receivable. Can you help me understand (with reference to the relevant standards, such as PCAOB Auditing Standard §2401, which presumes improper revenue recognition is a fraud risk, and the transfer-of-control model in ASC 606) why revenue is treated as a presumed fraud risk and how cutoff testing around year-end addresses the occurrence and period-of-record assertions? Please explain why an auditor confirms receivables directly with customers (§2310, The Auditor’s Use of Confirmation) and what a confirmation can and cannot prove about collectibility and the allowance for doubtful accounts?”</w:t>
      </w:r>
    </w:p>
    <w:p w14:paraId="65F8AAAB" w14:textId="77777777" w:rsidR="00381916" w:rsidRPr="00C560E7" w:rsidRDefault="00000000">
      <w:pPr>
        <w:spacing w:after="100" w:line="276" w:lineRule="auto"/>
        <w:ind w:left="360" w:hanging="360"/>
        <w:rPr>
          <w:color w:val="000000" w:themeColor="text1"/>
        </w:rPr>
      </w:pPr>
      <w:r>
        <w:rPr>
          <w:color w:val="000000" w:themeColor="text1"/>
        </w:rPr>
        <w:t>➢  Revenue is recognized following ASC 606 (transfer of control). You are encouraged to ask an AI program about common concerns that financial auditors have about revenue recognition. Review the journal voucher (JV) listing for all entries credited to revenue accounts. For a sample of transactions:</w:t>
      </w:r>
    </w:p>
    <w:p w14:paraId="0FB84CBF" w14:textId="77777777" w:rsidR="00381916" w:rsidRPr="00C560E7" w:rsidRDefault="00000000">
      <w:pPr>
        <w:spacing w:after="80" w:line="276" w:lineRule="auto"/>
        <w:ind w:left="1080" w:hanging="360"/>
        <w:rPr>
          <w:color w:val="000000" w:themeColor="text1"/>
        </w:rPr>
      </w:pPr>
      <w:r>
        <w:rPr>
          <w:color w:val="000000" w:themeColor="text1"/>
        </w:rPr>
        <w:t>i. Trace from the JV entry to the supporting sales invoice and to the related shipping document / bill of lading in Shipping_Documents/.</w:t>
      </w:r>
    </w:p>
    <w:p w14:paraId="2C650112" w14:textId="77777777" w:rsidR="00381916" w:rsidRPr="00C560E7" w:rsidRDefault="00000000">
      <w:pPr>
        <w:spacing w:after="80" w:line="276" w:lineRule="auto"/>
        <w:ind w:left="1080" w:hanging="360"/>
        <w:rPr>
          <w:color w:val="000000" w:themeColor="text1"/>
        </w:rPr>
      </w:pPr>
      <w:r>
        <w:rPr>
          <w:color w:val="000000" w:themeColor="text1"/>
        </w:rPr>
        <w:t>ii. For revenue entries posted near year-end, scrutinize the posting date and confirm the transaction is recorded in the correct period (cutoff testing). Compare the invoice date, JV date, and ship date to determine whether transfer of control occurred before year-end. Flag any sale recorded in the audit year when the related goods shipped after year-end.</w:t>
      </w:r>
    </w:p>
    <w:p w14:paraId="39E6E688" w14:textId="77777777" w:rsidR="00381916" w:rsidRPr="00C560E7" w:rsidRDefault="00000000">
      <w:pPr>
        <w:spacing w:after="80" w:line="276" w:lineRule="auto"/>
        <w:ind w:left="1080" w:hanging="360"/>
        <w:rPr>
          <w:color w:val="000000" w:themeColor="text1"/>
        </w:rPr>
      </w:pPr>
      <w:r>
        <w:rPr>
          <w:color w:val="000000" w:themeColor="text1"/>
        </w:rPr>
        <w:t>iii. Open ar_aging.xlsx. Identify all customer balances where the oldest unpaid invoice exceeds 180 days, evaluate their collectibility, and compare the recorded allowance for doubtful accounts with the aging detail. Evaluate whether the recorded allowance appears reasonable, and read allowance_calculation_memo_YYYY.pdf to evaluate whether the client’s methodology is supported by its own collection experience.</w:t>
      </w:r>
    </w:p>
    <w:p w14:paraId="6A26C4D2" w14:textId="77777777" w:rsidR="00381916" w:rsidRPr="00C560E7" w:rsidRDefault="00000000">
      <w:pPr>
        <w:spacing w:after="80" w:line="276" w:lineRule="auto"/>
        <w:ind w:left="1080" w:hanging="360"/>
        <w:rPr>
          <w:color w:val="000000" w:themeColor="text1"/>
        </w:rPr>
      </w:pPr>
      <w:r>
        <w:rPr>
          <w:color w:val="000000" w:themeColor="text1"/>
        </w:rPr>
        <w:t>iv. Calculate days sales outstanding (DSO) using ending AR and annual revenue. Compare with prior year.</w:t>
      </w:r>
    </w:p>
    <w:p w14:paraId="6C59AF30" w14:textId="77777777" w:rsidR="00BC35CC" w:rsidRDefault="00000000">
      <w:pPr>
        <w:spacing w:after="80" w:line="276" w:lineRule="auto"/>
        <w:ind w:left="1080" w:hanging="360"/>
        <w:rPr>
          <w:color w:val="000000" w:themeColor="text1"/>
        </w:rPr>
      </w:pPr>
      <w:r>
        <w:rPr>
          <w:color w:val="000000" w:themeColor="text1"/>
        </w:rPr>
        <w:t>v. Inspect the customer confirmation replies in 11_Confirmations/AR_Confirmations/ and tie each confirmed balance to ar_aging.xlsx. Where a customer did not reply, perform alternative procedures (subsequent cash receipts and invoice/shipping support); where a reply reports a different balance, determine whether the difference is a timing item or an exception, and document the resolution.</w:t>
      </w:r>
    </w:p>
    <w:p w14:paraId="47A2AACA" w14:textId="77777777" w:rsidR="00381916" w:rsidRPr="00C560E7" w:rsidRDefault="00000000">
      <w:pPr>
        <w:keepNext/>
        <w:spacing w:before="260" w:after="120"/>
        <w:rPr>
          <w:color w:val="000000" w:themeColor="text1"/>
        </w:rPr>
      </w:pPr>
      <w:r>
        <w:rPr>
          <w:b/>
          <w:bCs/>
          <w:color w:val="000000" w:themeColor="text1"/>
          <w:sz w:val="26"/>
          <w:szCs w:val="26"/>
        </w:rPr>
        <w:t>Step 4: Inventory</w:t>
      </w:r>
    </w:p>
    <w:p w14:paraId="467EE604"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0D4B111B" w14:textId="77777777" w:rsidR="006D5EE0" w:rsidRDefault="00000000">
      <w:pPr>
        <w:spacing w:after="120" w:line="276" w:lineRule="auto"/>
        <w:ind w:left="720"/>
        <w:rPr>
          <w:color w:val="000000" w:themeColor="text1"/>
        </w:rPr>
      </w:pPr>
      <w:r>
        <w:rPr>
          <w:i/>
          <w:iCs/>
          <w:color w:val="000000" w:themeColor="text1"/>
        </w:rPr>
        <w:t>“I am about to audit inventory. Can you help me understand (with reference to the relevant standards, such as PCAOB Auditing Standard §2510 on auditing inventories) why testing the physical count is central to the existence assertion, and how I should evaluate book-to-count differences for cutoff, shrinkage, obsolescence, or recording error? Please explain how the lower-of-cost-or-net-realizable-value rule (ASC 330) bears on the valuation assertion, and why a unit cost that is unusually high or low relative to similar items is worth investigating?”</w:t>
      </w:r>
    </w:p>
    <w:p w14:paraId="13DBF0A2" w14:textId="77777777" w:rsidR="00381916" w:rsidRPr="00C560E7" w:rsidRDefault="00000000">
      <w:pPr>
        <w:spacing w:after="100" w:line="276" w:lineRule="auto"/>
        <w:ind w:left="360" w:hanging="360"/>
        <w:rPr>
          <w:color w:val="000000" w:themeColor="text1"/>
        </w:rPr>
      </w:pPr>
      <w:r>
        <w:rPr>
          <w:color w:val="000000" w:themeColor="text1"/>
        </w:rPr>
        <w:t>➢  Open inventory_listing.xlsx and the corresponding JV entries for cost of goods sold.</w:t>
      </w:r>
    </w:p>
    <w:p w14:paraId="77AB36B0" w14:textId="77777777" w:rsidR="00381916" w:rsidRPr="00C560E7" w:rsidRDefault="00000000">
      <w:pPr>
        <w:spacing w:after="80" w:line="276" w:lineRule="auto"/>
        <w:ind w:left="1080" w:hanging="360"/>
        <w:rPr>
          <w:color w:val="000000" w:themeColor="text1"/>
        </w:rPr>
      </w:pPr>
      <w:r>
        <w:rPr>
          <w:color w:val="000000" w:themeColor="text1"/>
        </w:rPr>
        <w:t>i. Recalculate the total inventory value from the line items and compare it with the balance sheet figure.</w:t>
      </w:r>
    </w:p>
    <w:p w14:paraId="7E5DF4D8" w14:textId="77777777" w:rsidR="00381916" w:rsidRPr="00C560E7" w:rsidRDefault="00000000">
      <w:pPr>
        <w:spacing w:after="80" w:line="276" w:lineRule="auto"/>
        <w:ind w:left="1080" w:hanging="360"/>
        <w:rPr>
          <w:color w:val="000000" w:themeColor="text1"/>
        </w:rPr>
      </w:pPr>
      <w:r>
        <w:rPr>
          <w:color w:val="000000" w:themeColor="text1"/>
        </w:rPr>
        <w:lastRenderedPageBreak/>
        <w:t>ii. Identify any items where unit cost appears inconsistent (unusually high or low) relative to similar items.</w:t>
      </w:r>
    </w:p>
    <w:p w14:paraId="75870CDC" w14:textId="77777777" w:rsidR="00381916" w:rsidRPr="00C560E7" w:rsidRDefault="00000000">
      <w:pPr>
        <w:spacing w:after="80" w:line="276" w:lineRule="auto"/>
        <w:ind w:left="1080" w:hanging="360"/>
        <w:rPr>
          <w:color w:val="000000" w:themeColor="text1"/>
        </w:rPr>
      </w:pPr>
      <w:r>
        <w:rPr>
          <w:color w:val="000000" w:themeColor="text1"/>
        </w:rPr>
        <w:t>iii. Open inventory_count_sheet_YYYY.xlsx and complete its blank variance columns: compare book quantities to counted quantities, calculate the value of any count differences, and determine whether an inventory adjustment is needed. Consider whether the differences indicate cutoff, shrinkage, obsolescence, or recording errors.</w:t>
      </w:r>
    </w:p>
    <w:p w14:paraId="590540A4" w14:textId="5E861246" w:rsidR="00CE7B58" w:rsidRDefault="00000000" w:rsidP="00DC5EDA">
      <w:pPr>
        <w:spacing w:after="80" w:line="276" w:lineRule="auto"/>
        <w:ind w:left="1080" w:hanging="360"/>
        <w:rPr>
          <w:b/>
          <w:bCs/>
          <w:color w:val="000000" w:themeColor="text1"/>
          <w:sz w:val="26"/>
          <w:szCs w:val="26"/>
        </w:rPr>
      </w:pPr>
      <w:r>
        <w:rPr>
          <w:color w:val="000000" w:themeColor="text1"/>
        </w:rPr>
        <w:t>iv. Assess the reasonableness of days inventory outstanding (DIO). Is the ratio in line with the industry and with the prior year?</w:t>
      </w:r>
    </w:p>
    <w:p w14:paraId="398DC2FF" w14:textId="77777777" w:rsidR="00381916" w:rsidRPr="00C560E7" w:rsidRDefault="00000000">
      <w:pPr>
        <w:keepNext/>
        <w:spacing w:before="260" w:after="120"/>
        <w:rPr>
          <w:color w:val="000000" w:themeColor="text1"/>
        </w:rPr>
      </w:pPr>
      <w:r>
        <w:rPr>
          <w:b/>
          <w:bCs/>
          <w:color w:val="000000" w:themeColor="text1"/>
          <w:sz w:val="26"/>
          <w:szCs w:val="26"/>
        </w:rPr>
        <w:t>Step 5: Fixed Assets</w:t>
      </w:r>
    </w:p>
    <w:p w14:paraId="0E7E8E4D"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2825D566" w14:textId="77777777" w:rsidR="006D5EE0" w:rsidRDefault="00000000">
      <w:pPr>
        <w:spacing w:after="120" w:line="276" w:lineRule="auto"/>
        <w:ind w:left="720"/>
        <w:rPr>
          <w:color w:val="000000" w:themeColor="text1"/>
        </w:rPr>
      </w:pPr>
      <w:r>
        <w:rPr>
          <w:i/>
          <w:iCs/>
          <w:color w:val="000000" w:themeColor="text1"/>
        </w:rPr>
        <w:t>“I am about to audit fixed assets and depreciation. Can you help me understand (with reference to the relevant standards, such as PCAOB Auditing Standard §2501 on auditing accounting estimates) why useful life and salvage value are estimates the auditor must evaluate rather than simply accept, and how recalculating straight-line depreciation tests the accuracy and valuation assertions? Please explain, for a disposal, why both the asset’s cost and its full accumulated depreciation must be removed, how the gain or loss is determined, and what it would mean if accumulated depreciation exceeded the asset’s cost?”</w:t>
      </w:r>
    </w:p>
    <w:p w14:paraId="4E787116" w14:textId="77777777" w:rsidR="00381916" w:rsidRPr="00C560E7" w:rsidRDefault="00000000">
      <w:pPr>
        <w:spacing w:after="100" w:line="276" w:lineRule="auto"/>
        <w:ind w:left="360" w:hanging="360"/>
        <w:rPr>
          <w:color w:val="000000" w:themeColor="text1"/>
        </w:rPr>
      </w:pPr>
      <w:r>
        <w:rPr>
          <w:color w:val="000000" w:themeColor="text1"/>
        </w:rPr>
        <w:t>➢  Open asset_register.csv, fixed_asset_register.pdf, and asset_rollforward_YYYY.xlsx.</w:t>
      </w:r>
    </w:p>
    <w:p w14:paraId="7D973A52" w14:textId="77777777" w:rsidR="00381916" w:rsidRPr="00C560E7" w:rsidRDefault="00000000">
      <w:pPr>
        <w:spacing w:after="80" w:line="276" w:lineRule="auto"/>
        <w:ind w:left="1080" w:hanging="360"/>
        <w:rPr>
          <w:color w:val="000000" w:themeColor="text1"/>
        </w:rPr>
      </w:pPr>
      <w:r>
        <w:rPr>
          <w:color w:val="000000" w:themeColor="text1"/>
        </w:rPr>
        <w:t>i. For each asset, verify that the depreciation method is straight-line and that the booked annual depreciation matches your independent recalculation: (Cost − Salvage Value) ÷ Useful Life, pro-rated in the year of acquisition.</w:t>
      </w:r>
    </w:p>
    <w:p w14:paraId="2DA55A1F" w14:textId="77777777" w:rsidR="00381916" w:rsidRPr="00C560E7" w:rsidRDefault="00000000">
      <w:pPr>
        <w:spacing w:after="80" w:line="276" w:lineRule="auto"/>
        <w:ind w:left="1080" w:hanging="360"/>
        <w:rPr>
          <w:color w:val="000000" w:themeColor="text1"/>
        </w:rPr>
      </w:pPr>
      <w:r>
        <w:rPr>
          <w:color w:val="000000" w:themeColor="text1"/>
        </w:rPr>
        <w:t>ii. Document any asset where the booked depreciation differs from your calculation. Flag items where the variance exceeds performance materiality.</w:t>
      </w:r>
    </w:p>
    <w:p w14:paraId="3B7F1454" w14:textId="77777777" w:rsidR="00381916" w:rsidRPr="00C560E7" w:rsidRDefault="00000000">
      <w:pPr>
        <w:spacing w:after="80" w:line="276" w:lineRule="auto"/>
        <w:ind w:left="1080" w:hanging="360"/>
        <w:rPr>
          <w:color w:val="000000" w:themeColor="text1"/>
        </w:rPr>
      </w:pPr>
      <w:r>
        <w:rPr>
          <w:color w:val="000000" w:themeColor="text1"/>
        </w:rPr>
        <w:t>iii. For assets acquired or disposed of during the year, review the cost, acquisition date, disposal date, status, and accumulated depreciation in asset_register.csv. For acquisitions, agree the cost and date to available purchase-order support. (Current-year acquisitions are capitalized through a journal entry — Dr Equipment (1500) / Cr Cash (1000) — so each addition appears in the JV listing as a capitalization entry with a corresponding cash payment, and the purchase is reported as an investing outflow on the statement of cash flows. Reconcile total additions to the JV listing as well as to the fixed-asset rollforward and register.) For disposals, inspect the documents in Asset_Disposals/ and verify that disposed assets were removed from the register, that accumulated depreciation was removed where appropriate, and that any gain or loss was recorded properly.</w:t>
      </w:r>
    </w:p>
    <w:p w14:paraId="153BB5C8" w14:textId="2E43FFE0" w:rsidR="004E41BC" w:rsidRDefault="00000000">
      <w:pPr>
        <w:spacing w:after="80" w:line="276" w:lineRule="auto"/>
        <w:ind w:left="1080" w:hanging="360"/>
        <w:rPr>
          <w:color w:val="000000" w:themeColor="text1"/>
        </w:rPr>
      </w:pPr>
      <w:r>
        <w:rPr>
          <w:color w:val="000000" w:themeColor="text1"/>
        </w:rPr>
        <w:t>iv. Use asset_rollforward_YYYY.xlsx to reconcile beginning cost, additions, disposals, depreciation, and ending net book value to the fixed-asset register and trial balance.</w:t>
      </w:r>
    </w:p>
    <w:p w14:paraId="01BC0EE4" w14:textId="77777777" w:rsidR="004E41BC" w:rsidRDefault="004E41BC">
      <w:pPr>
        <w:rPr>
          <w:color w:val="000000" w:themeColor="text1"/>
        </w:rPr>
      </w:pPr>
      <w:r>
        <w:rPr>
          <w:color w:val="000000" w:themeColor="text1"/>
        </w:rPr>
        <w:br w:type="page"/>
      </w:r>
    </w:p>
    <w:p w14:paraId="2EB97646" w14:textId="77777777" w:rsidR="00381916" w:rsidRPr="00C560E7" w:rsidRDefault="00000000">
      <w:pPr>
        <w:keepNext/>
        <w:spacing w:before="260" w:after="120"/>
        <w:rPr>
          <w:color w:val="000000" w:themeColor="text1"/>
        </w:rPr>
      </w:pPr>
      <w:r>
        <w:rPr>
          <w:b/>
          <w:bCs/>
          <w:color w:val="000000" w:themeColor="text1"/>
          <w:sz w:val="26"/>
          <w:szCs w:val="26"/>
        </w:rPr>
        <w:lastRenderedPageBreak/>
        <w:t>Step 6: Payroll</w:t>
      </w:r>
    </w:p>
    <w:p w14:paraId="1BFB3340"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0EE9CD3C" w14:textId="77777777" w:rsidR="006D5EE0" w:rsidRDefault="00000000">
      <w:pPr>
        <w:spacing w:after="120" w:line="276" w:lineRule="auto"/>
        <w:ind w:left="720"/>
        <w:rPr>
          <w:color w:val="000000" w:themeColor="text1"/>
        </w:rPr>
      </w:pPr>
      <w:r>
        <w:rPr>
          <w:i/>
          <w:iCs/>
          <w:color w:val="000000" w:themeColor="text1"/>
        </w:rPr>
        <w:t>“I am about to test payroll. Can you help me understand (with reference to the relevant standards, such as PCAOB Auditing Standard §2401 on the consideration of fraud and §2110 on assessing risk) what fraud and error risks are typical in a payroll cycle — for example, terminated or fictitious employees still being paid, or pay rates outside an approved band — and which assertions (occurrence, accuracy, cutoff) those risks map to? Please explain how an auditor decides whether a salary that sits outside its departmental peer range is an authorized exception or an indicator of an out-of-policy or unauthorized pay change, and what corroborating evidence would resolve the question?”</w:t>
      </w:r>
    </w:p>
    <w:p w14:paraId="3A732601" w14:textId="77777777" w:rsidR="00381916" w:rsidRPr="00C560E7" w:rsidRDefault="00000000">
      <w:pPr>
        <w:spacing w:after="100" w:line="276" w:lineRule="auto"/>
        <w:ind w:left="360" w:hanging="360"/>
        <w:rPr>
          <w:color w:val="000000" w:themeColor="text1"/>
        </w:rPr>
      </w:pPr>
      <w:r>
        <w:rPr>
          <w:color w:val="000000" w:themeColor="text1"/>
        </w:rPr>
        <w:t>➢  Open payroll_roster.csv, payroll_monthly_summary_YYYY.xlsx, and Payroll_Workpaper_YYYY.pdf.</w:t>
      </w:r>
    </w:p>
    <w:p w14:paraId="6E85B878" w14:textId="77777777" w:rsidR="00381916" w:rsidRPr="00C560E7" w:rsidRDefault="00000000">
      <w:pPr>
        <w:spacing w:after="80" w:line="276" w:lineRule="auto"/>
        <w:ind w:left="1080" w:hanging="360"/>
        <w:rPr>
          <w:color w:val="000000" w:themeColor="text1"/>
        </w:rPr>
      </w:pPr>
      <w:r>
        <w:rPr>
          <w:color w:val="000000" w:themeColor="text1"/>
        </w:rPr>
        <w:t>i. For each employee, verify that their salary is within the approved band for their department and position. (The approved bands are not provided as a separate reference; infer each band from the salaries of peers in the same department and position, and treat a salary that sits well outside its peer range as a possible exception to investigate.)</w:t>
      </w:r>
    </w:p>
    <w:p w14:paraId="1B02D812" w14:textId="77777777" w:rsidR="00381916" w:rsidRPr="00C560E7" w:rsidRDefault="00000000">
      <w:pPr>
        <w:spacing w:after="80" w:line="276" w:lineRule="auto"/>
        <w:ind w:left="1080" w:hanging="360"/>
        <w:rPr>
          <w:color w:val="000000" w:themeColor="text1"/>
        </w:rPr>
      </w:pPr>
      <w:r>
        <w:rPr>
          <w:color w:val="000000" w:themeColor="text1"/>
        </w:rPr>
        <w:t>ii. Recalculate the total payroll expense and compare it with the payroll entry in the JV listing.</w:t>
      </w:r>
    </w:p>
    <w:p w14:paraId="5727E369" w14:textId="77777777" w:rsidR="00381916" w:rsidRPr="00C560E7" w:rsidRDefault="00000000">
      <w:pPr>
        <w:spacing w:after="80" w:line="276" w:lineRule="auto"/>
        <w:ind w:left="1080" w:hanging="360"/>
        <w:rPr>
          <w:color w:val="000000" w:themeColor="text1"/>
        </w:rPr>
      </w:pPr>
      <w:r>
        <w:rPr>
          <w:color w:val="000000" w:themeColor="text1"/>
        </w:rPr>
        <w:t>iii. Review the year’s terminations and new hires (leaver_joiner_listing_YYYY.csv / Leaver_Joiner_Workpaper_YYYY.pdf): confirm no employee was paid beyond their termination date, that each voluntary leaver has a resignation letter on file, and that each new hire has a signed employment contract.</w:t>
      </w:r>
    </w:p>
    <w:p w14:paraId="304C07D1" w14:textId="77777777" w:rsidR="00381916" w:rsidRPr="00C560E7" w:rsidRDefault="00000000">
      <w:pPr>
        <w:spacing w:after="80" w:line="276" w:lineRule="auto"/>
        <w:ind w:left="1080" w:hanging="360"/>
        <w:rPr>
          <w:color w:val="000000" w:themeColor="text1"/>
        </w:rPr>
      </w:pPr>
      <w:r>
        <w:rPr>
          <w:color w:val="000000" w:themeColor="text1"/>
        </w:rPr>
        <w:t>iv. Flag any employee whose pay rate sits well outside its inferred peer range — this could indicate an unauthorized or out-of-policy pay increase.</w:t>
      </w:r>
    </w:p>
    <w:p w14:paraId="6FD49A24" w14:textId="77777777" w:rsidR="00381916" w:rsidRPr="00C560E7" w:rsidRDefault="00000000">
      <w:pPr>
        <w:keepNext/>
        <w:spacing w:before="260" w:after="120"/>
        <w:rPr>
          <w:color w:val="000000" w:themeColor="text1"/>
        </w:rPr>
      </w:pPr>
      <w:r>
        <w:rPr>
          <w:b/>
          <w:bCs/>
          <w:color w:val="000000" w:themeColor="text1"/>
          <w:sz w:val="26"/>
          <w:szCs w:val="26"/>
        </w:rPr>
        <w:t>Step 7: Cash and Bank</w:t>
      </w:r>
    </w:p>
    <w:p w14:paraId="4A2A4047"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51F0BE88" w14:textId="77777777" w:rsidR="006D5EE0" w:rsidRDefault="00000000">
      <w:pPr>
        <w:spacing w:after="120" w:line="276" w:lineRule="auto"/>
        <w:ind w:left="720"/>
        <w:rPr>
          <w:color w:val="000000" w:themeColor="text1"/>
        </w:rPr>
      </w:pPr>
      <w:r>
        <w:rPr>
          <w:i/>
          <w:iCs/>
          <w:color w:val="000000" w:themeColor="text1"/>
        </w:rPr>
        <w:t>“I am about to audit cash and the bank reconciliation. Can you help me understand (with reference to the relevant standards, such as PCAOB Auditing Standard §2310, The Auditor’s Use of Confirmation) why a confirmation obtained directly from the bank is more reliable evidence than a client-prepared schedule, and how a bank reconciliation links the confirmed or statement balance to the general-ledger cash balance? Please explain why outstanding checks and deposits in transit are legitimate reconciling items, and what an unusual, stale, or oversized reconciling item might indicate?”</w:t>
      </w:r>
    </w:p>
    <w:p w14:paraId="1BCA3FF9" w14:textId="77777777" w:rsidR="00381916" w:rsidRPr="00C560E7" w:rsidRDefault="00000000">
      <w:pPr>
        <w:spacing w:after="100" w:line="276" w:lineRule="auto"/>
        <w:ind w:left="360" w:hanging="360"/>
        <w:rPr>
          <w:color w:val="000000" w:themeColor="text1"/>
        </w:rPr>
      </w:pPr>
      <w:r>
        <w:rPr>
          <w:color w:val="000000" w:themeColor="text1"/>
        </w:rPr>
        <w:t>➢  Open bank_reconciliation.pdf and bank_confirmation.pdf.</w:t>
      </w:r>
    </w:p>
    <w:p w14:paraId="390501C2" w14:textId="77777777" w:rsidR="00381916" w:rsidRPr="00C560E7" w:rsidRDefault="00000000">
      <w:pPr>
        <w:spacing w:after="80" w:line="276" w:lineRule="auto"/>
        <w:ind w:left="1080" w:hanging="360"/>
        <w:rPr>
          <w:color w:val="000000" w:themeColor="text1"/>
        </w:rPr>
      </w:pPr>
      <w:r>
        <w:rPr>
          <w:color w:val="000000" w:themeColor="text1"/>
        </w:rPr>
        <w:t>i. Verify that the reconciliation traces from the bank statement ending balance to the GL cash balance.</w:t>
      </w:r>
    </w:p>
    <w:p w14:paraId="10214233" w14:textId="77777777" w:rsidR="00381916" w:rsidRPr="00C560E7" w:rsidRDefault="00000000">
      <w:pPr>
        <w:spacing w:after="80" w:line="276" w:lineRule="auto"/>
        <w:ind w:left="1080" w:hanging="360"/>
        <w:rPr>
          <w:color w:val="000000" w:themeColor="text1"/>
        </w:rPr>
      </w:pPr>
      <w:r>
        <w:rPr>
          <w:color w:val="000000" w:themeColor="text1"/>
        </w:rPr>
        <w:t>ii. Inspect any reconciling items (outstanding checks, deposits in transit). Are they reasonable in size and age?</w:t>
      </w:r>
    </w:p>
    <w:p w14:paraId="66F56662" w14:textId="77777777" w:rsidR="00381916" w:rsidRPr="00C560E7" w:rsidRDefault="00000000">
      <w:pPr>
        <w:spacing w:after="80" w:line="276" w:lineRule="auto"/>
        <w:ind w:left="1080" w:hanging="360"/>
        <w:rPr>
          <w:color w:val="000000" w:themeColor="text1"/>
        </w:rPr>
      </w:pPr>
      <w:r>
        <w:rPr>
          <w:color w:val="000000" w:themeColor="text1"/>
        </w:rPr>
        <w:t>iii. Compare the confirmed bank balance to the bank statement, bank reconciliation, and GL cash balance, and investigate any differences.</w:t>
      </w:r>
    </w:p>
    <w:p w14:paraId="6F659EDB" w14:textId="77777777" w:rsidR="00381916" w:rsidRPr="00C560E7" w:rsidRDefault="00000000">
      <w:pPr>
        <w:spacing w:after="80" w:line="276" w:lineRule="auto"/>
        <w:ind w:left="1080" w:hanging="360"/>
        <w:rPr>
          <w:color w:val="000000" w:themeColor="text1"/>
        </w:rPr>
      </w:pPr>
      <w:r>
        <w:rPr>
          <w:color w:val="000000" w:themeColor="text1"/>
        </w:rPr>
        <w:t>iv. Cross-reference the bank ending balance to the balance sheet cash amount.</w:t>
      </w:r>
    </w:p>
    <w:p w14:paraId="288C2EEC" w14:textId="77777777" w:rsidR="00381916" w:rsidRPr="00C560E7" w:rsidRDefault="00000000">
      <w:pPr>
        <w:keepNext/>
        <w:spacing w:before="260" w:after="120"/>
        <w:rPr>
          <w:color w:val="000000" w:themeColor="text1"/>
        </w:rPr>
      </w:pPr>
      <w:r>
        <w:rPr>
          <w:b/>
          <w:bCs/>
          <w:color w:val="000000" w:themeColor="text1"/>
          <w:sz w:val="26"/>
          <w:szCs w:val="26"/>
        </w:rPr>
        <w:lastRenderedPageBreak/>
        <w:t>Step 8: Debt</w:t>
      </w:r>
    </w:p>
    <w:p w14:paraId="24F0D4D9"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46225CC0" w14:textId="77777777" w:rsidR="006D5EE0" w:rsidRDefault="00000000">
      <w:pPr>
        <w:spacing w:after="120" w:line="276" w:lineRule="auto"/>
        <w:ind w:left="720"/>
        <w:rPr>
          <w:color w:val="000000" w:themeColor="text1"/>
        </w:rPr>
      </w:pPr>
      <w:r>
        <w:rPr>
          <w:i/>
          <w:iCs/>
          <w:color w:val="000000" w:themeColor="text1"/>
        </w:rPr>
        <w:t>“I am about to audit debt and interest. Can you help me understand (with reference to the relevant standards, such as PCAOB Auditing Standard §2310, The Auditor’s Use of Confirmation) why completeness is usually a greater risk for liabilities than existence, and how confirming the principal, interest rate, and repayment terms with the lender addresses it? Please explain how independently recalculating interest from the stated rate and the average outstanding principal tests the amortization schedule, and why agreeing principal repayments to the cash-flow statement and the JV listing matters?”</w:t>
      </w:r>
    </w:p>
    <w:p w14:paraId="2F4D1C60" w14:textId="77777777" w:rsidR="00381916" w:rsidRPr="00C560E7" w:rsidRDefault="00000000">
      <w:pPr>
        <w:spacing w:after="100" w:line="276" w:lineRule="auto"/>
        <w:ind w:left="360" w:hanging="360"/>
        <w:rPr>
          <w:color w:val="000000" w:themeColor="text1"/>
        </w:rPr>
      </w:pPr>
      <w:r>
        <w:rPr>
          <w:color w:val="000000" w:themeColor="text1"/>
        </w:rPr>
        <w:t>➢  Open debt_schedule.xlsx and lender_confirmation.pdf.</w:t>
      </w:r>
    </w:p>
    <w:p w14:paraId="3C46548F" w14:textId="77777777" w:rsidR="00381916" w:rsidRPr="00C560E7" w:rsidRDefault="00000000">
      <w:pPr>
        <w:spacing w:after="80" w:line="276" w:lineRule="auto"/>
        <w:ind w:left="1080" w:hanging="360"/>
        <w:rPr>
          <w:color w:val="000000" w:themeColor="text1"/>
        </w:rPr>
      </w:pPr>
      <w:r>
        <w:rPr>
          <w:color w:val="000000" w:themeColor="text1"/>
        </w:rPr>
        <w:t>i. Verify the ending loan balances against the balance sheet liabilities.</w:t>
      </w:r>
    </w:p>
    <w:p w14:paraId="7126C8F0" w14:textId="77777777" w:rsidR="00381916" w:rsidRPr="00C560E7" w:rsidRDefault="00000000">
      <w:pPr>
        <w:spacing w:after="80" w:line="276" w:lineRule="auto"/>
        <w:ind w:left="1080" w:hanging="360"/>
        <w:rPr>
          <w:color w:val="000000" w:themeColor="text1"/>
        </w:rPr>
      </w:pPr>
      <w:r>
        <w:rPr>
          <w:color w:val="000000" w:themeColor="text1"/>
        </w:rPr>
        <w:t>ii. Recalculate interest expense for the year using the stated interest rate and average outstanding principal.</w:t>
      </w:r>
    </w:p>
    <w:p w14:paraId="77F79AF7" w14:textId="77777777" w:rsidR="00381916" w:rsidRPr="00C560E7" w:rsidRDefault="00000000">
      <w:pPr>
        <w:spacing w:after="80" w:line="276" w:lineRule="auto"/>
        <w:ind w:left="1080" w:hanging="360"/>
        <w:rPr>
          <w:color w:val="000000" w:themeColor="text1"/>
        </w:rPr>
      </w:pPr>
      <w:r>
        <w:rPr>
          <w:color w:val="000000" w:themeColor="text1"/>
        </w:rPr>
        <w:t>iii. Confirm that the amortization schedule is mathematically consistent and that principal repayments are reflected in the JV listing and the cash flow.</w:t>
      </w:r>
    </w:p>
    <w:p w14:paraId="7100F8A1" w14:textId="77777777" w:rsidR="00381916" w:rsidRPr="00C560E7" w:rsidRDefault="00000000">
      <w:pPr>
        <w:spacing w:after="80" w:line="276" w:lineRule="auto"/>
        <w:ind w:left="1080" w:hanging="360"/>
        <w:rPr>
          <w:color w:val="000000" w:themeColor="text1"/>
        </w:rPr>
      </w:pPr>
      <w:r>
        <w:rPr>
          <w:color w:val="000000" w:themeColor="text1"/>
        </w:rPr>
        <w:t>iv. Agree the confirmed principal balance, interest rate, interest charged, and principal repayments to debt_schedule.xlsx, the JV listing, and the balance sheet.</w:t>
      </w:r>
    </w:p>
    <w:p w14:paraId="4D4F1EEA" w14:textId="77777777" w:rsidR="00381916" w:rsidRPr="00C560E7" w:rsidRDefault="00000000">
      <w:pPr>
        <w:keepNext/>
        <w:spacing w:before="260" w:after="120"/>
        <w:rPr>
          <w:color w:val="000000" w:themeColor="text1"/>
        </w:rPr>
      </w:pPr>
      <w:r>
        <w:rPr>
          <w:b/>
          <w:bCs/>
          <w:color w:val="000000" w:themeColor="text1"/>
          <w:sz w:val="26"/>
          <w:szCs w:val="26"/>
        </w:rPr>
        <w:t>Step 9: Journal Voucher (JV) Testing</w:t>
      </w:r>
    </w:p>
    <w:p w14:paraId="6F61DC88"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18565255" w14:textId="77777777" w:rsidR="006D5EE0" w:rsidRDefault="00000000">
      <w:pPr>
        <w:spacing w:after="120" w:line="276" w:lineRule="auto"/>
        <w:ind w:left="720"/>
        <w:rPr>
          <w:color w:val="000000" w:themeColor="text1"/>
        </w:rPr>
      </w:pPr>
      <w:r>
        <w:rPr>
          <w:i/>
          <w:iCs/>
          <w:color w:val="000000" w:themeColor="text1"/>
        </w:rPr>
        <w:t>“I am about to perform journal-entry testing. Can you help me understand (with reference to the relevant standards, such as PCAOB Auditing Standard §2401, which requires the auditor to test journal entries to address the risk of management override of controls) why entries posted at period-end, on weekends, in round dollar amounts, or to unrelated accounts warrant additional scrutiny? Please explain why an expected, well-supported entry — such as a capitalized equipment purchase that simply happens to be large — is not itself an anomaly, and how I should distinguish an unusual entry from a merely large one?”</w:t>
      </w:r>
    </w:p>
    <w:p w14:paraId="42A14359" w14:textId="77777777" w:rsidR="00381916" w:rsidRPr="00C560E7" w:rsidRDefault="00000000">
      <w:pPr>
        <w:spacing w:after="100" w:line="276" w:lineRule="auto"/>
        <w:ind w:left="360" w:hanging="360"/>
        <w:rPr>
          <w:color w:val="000000" w:themeColor="text1"/>
        </w:rPr>
      </w:pPr>
      <w:r>
        <w:rPr>
          <w:color w:val="000000" w:themeColor="text1"/>
        </w:rPr>
        <w:t>➢  The JV listing is the most granular record of all accounting activity. Open jv_listing_lines_YYYY.csv.</w:t>
      </w:r>
    </w:p>
    <w:p w14:paraId="3FA17736" w14:textId="77777777" w:rsidR="00381916" w:rsidRPr="00C560E7" w:rsidRDefault="00000000">
      <w:pPr>
        <w:spacing w:after="80" w:line="276" w:lineRule="auto"/>
        <w:ind w:left="1080" w:hanging="360"/>
        <w:rPr>
          <w:color w:val="000000" w:themeColor="text1"/>
        </w:rPr>
      </w:pPr>
      <w:r>
        <w:rPr>
          <w:color w:val="000000" w:themeColor="text1"/>
        </w:rPr>
        <w:t>i. Use a spreadsheet or R to sort entries by amount (descending) and identify the top 10% by dollar value. Capitalized equipment acquisitions (Dr Equipment / Cr Cash) post at the asset’s full cost and will typically fall in this high-value population; these are expected capital expenditures, not anomalies — agree them to their purchase-order support rather than flagging them as unusual.</w:t>
      </w:r>
    </w:p>
    <w:p w14:paraId="30673034" w14:textId="77777777" w:rsidR="00381916" w:rsidRPr="00C560E7" w:rsidRDefault="00000000">
      <w:pPr>
        <w:spacing w:after="80" w:line="276" w:lineRule="auto"/>
        <w:ind w:left="1080" w:hanging="360"/>
        <w:rPr>
          <w:color w:val="000000" w:themeColor="text1"/>
        </w:rPr>
      </w:pPr>
      <w:r>
        <w:rPr>
          <w:color w:val="000000" w:themeColor="text1"/>
        </w:rPr>
        <w:t>ii. Identify any JV entries posted on the last day of the fiscal year or on weekends. These warrant additional scrutiny per AS §2401 (fraud risk indicators).</w:t>
      </w:r>
    </w:p>
    <w:p w14:paraId="01B10FB7" w14:textId="77777777" w:rsidR="00381916" w:rsidRPr="00C560E7" w:rsidRDefault="00000000">
      <w:pPr>
        <w:spacing w:after="80" w:line="276" w:lineRule="auto"/>
        <w:ind w:left="1080" w:hanging="360"/>
        <w:rPr>
          <w:color w:val="000000" w:themeColor="text1"/>
        </w:rPr>
      </w:pPr>
      <w:r>
        <w:rPr>
          <w:color w:val="000000" w:themeColor="text1"/>
        </w:rPr>
        <w:t>iii. Look for round-number entries (exactly $5,000 or $10,000). These can indicate estimates or manipulated entries.</w:t>
      </w:r>
    </w:p>
    <w:p w14:paraId="00B48446" w14:textId="77777777" w:rsidR="00381916" w:rsidRPr="00C560E7" w:rsidRDefault="00000000">
      <w:pPr>
        <w:spacing w:after="80" w:line="276" w:lineRule="auto"/>
        <w:ind w:left="1080" w:hanging="360"/>
        <w:rPr>
          <w:color w:val="000000" w:themeColor="text1"/>
        </w:rPr>
      </w:pPr>
      <w:r>
        <w:rPr>
          <w:color w:val="000000" w:themeColor="text1"/>
        </w:rPr>
        <w:t>iv. Review whether revenue entries cluster near quarter-end or year-end. For unusual revenue entries, trace to the sales invoice and shipping document to evaluate cutoff and support for revenue recognition.</w:t>
      </w:r>
    </w:p>
    <w:p w14:paraId="28432C07" w14:textId="77777777" w:rsidR="00381916" w:rsidRPr="00C560E7" w:rsidRDefault="00000000">
      <w:pPr>
        <w:spacing w:after="80" w:line="276" w:lineRule="auto"/>
        <w:ind w:left="1080" w:hanging="360"/>
        <w:rPr>
          <w:color w:val="000000" w:themeColor="text1"/>
        </w:rPr>
      </w:pPr>
      <w:r>
        <w:rPr>
          <w:color w:val="000000" w:themeColor="text1"/>
        </w:rPr>
        <w:t>v. For each unusual JV you identify, write a brief description of what additional documentation you would request and why.</w:t>
      </w:r>
    </w:p>
    <w:p w14:paraId="33FCD4AA" w14:textId="77777777" w:rsidR="00BC35CC" w:rsidRDefault="00000000">
      <w:pPr>
        <w:spacing w:after="80" w:line="276" w:lineRule="auto"/>
        <w:ind w:left="1080" w:hanging="360"/>
        <w:rPr>
          <w:color w:val="000000" w:themeColor="text1"/>
        </w:rPr>
      </w:pPr>
      <w:r>
        <w:rPr>
          <w:color w:val="000000" w:themeColor="text1"/>
        </w:rPr>
        <w:lastRenderedPageBreak/>
        <w:t>vi. Review the Entered_By and Approved_By sign-offs on the JV listing (staff roles are in staff_master.csv). Flag entries with no approver, entries approved by the same person who entered them, and senior-management entries outside the normal posting pattern — these are management-override indicators under AS §2401.</w:t>
      </w:r>
    </w:p>
    <w:p w14:paraId="05775970" w14:textId="77777777" w:rsidR="00381916" w:rsidRPr="00C560E7" w:rsidRDefault="00000000">
      <w:pPr>
        <w:keepNext/>
        <w:spacing w:before="260" w:after="120"/>
        <w:rPr>
          <w:color w:val="000000" w:themeColor="text1"/>
        </w:rPr>
      </w:pPr>
      <w:r>
        <w:rPr>
          <w:b/>
          <w:bCs/>
          <w:color w:val="000000" w:themeColor="text1"/>
          <w:sz w:val="26"/>
          <w:szCs w:val="26"/>
        </w:rPr>
        <w:t>Step 10: Management Estimates and Related Parties</w:t>
      </w:r>
    </w:p>
    <w:p w14:paraId="4EAEC716"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22186B53" w14:textId="77777777" w:rsidR="006D5EE0" w:rsidRDefault="00000000">
      <w:pPr>
        <w:spacing w:after="120" w:line="276" w:lineRule="auto"/>
        <w:ind w:left="720"/>
        <w:rPr>
          <w:color w:val="000000" w:themeColor="text1"/>
        </w:rPr>
      </w:pPr>
      <w:r>
        <w:rPr>
          <w:i/>
          <w:iCs/>
          <w:color w:val="000000" w:themeColor="text1"/>
        </w:rPr>
        <w:t>“I am about to evaluate management’s accounting estimates and related-party transactions. Can you help me understand (with reference to the relevant standards, such as PCAOB Auditing Standard §2501 on auditing accounting estimates and §2410 on related parties) why estimates such as the allowance for doubtful accounts, the warranty reserve, and the litigation reserve carry heightened risk, and what makes an estimate reasonable rather than biased? Please explain why related-party transactions receive special audit attention even when they are legal, and what ‘arm’s length’ means when I assess whether the terms and the disclosure (ASC 850) are complete?”</w:t>
      </w:r>
    </w:p>
    <w:p w14:paraId="1DDA2685" w14:textId="77777777" w:rsidR="00381916" w:rsidRPr="00C560E7" w:rsidRDefault="00000000">
      <w:pPr>
        <w:spacing w:after="100" w:line="276" w:lineRule="auto"/>
        <w:ind w:left="360" w:hanging="360"/>
        <w:rPr>
          <w:color w:val="000000" w:themeColor="text1"/>
        </w:rPr>
      </w:pPr>
      <w:r>
        <w:rPr>
          <w:color w:val="000000" w:themeColor="text1"/>
        </w:rPr>
        <w:t>➢  Open the trial balance, ar_aging.xlsx, management_representations.pdf, and the supporting estimate evidence: allowance_calculation_memo_YYYY.pdf, warranty_claims_history_YYYY.pdf, and attorney_legal_letter_YYYY.pdf (in 11_Confirmations). Evaluate the reasonableness of management estimates, including the allowance for doubtful accounts, warranty reserve, and litigation reserve. For each estimate, document the recorded amount, the evidence reviewed, whether the estimate appears reasonable, and whether additional audit evidence should be requested.</w:t>
      </w:r>
    </w:p>
    <w:p w14:paraId="55048E36" w14:textId="77777777" w:rsidR="00CE7B58" w:rsidRDefault="00000000" w:rsidP="00B33E30">
      <w:pPr>
        <w:spacing w:after="100" w:line="276" w:lineRule="auto"/>
        <w:ind w:left="360" w:hanging="360"/>
        <w:rPr>
          <w:b/>
          <w:bCs/>
          <w:color w:val="000000" w:themeColor="text1"/>
          <w:sz w:val="26"/>
          <w:szCs w:val="26"/>
        </w:rPr>
      </w:pPr>
      <w:r>
        <w:rPr>
          <w:color w:val="000000" w:themeColor="text1"/>
        </w:rPr>
        <w:t>➢  Open related_party_note.pdf and review vendor_master.csv for the related-party vendor. Determine whether transactions with the related party appear reasonable, whether terms appear arm’s length, and whether the disclosure appears complete. When assessing completeness, scan the full vendor master for any other vendor showing related-party indicators (shared contacts or addresses, or unusual payment terms).</w:t>
      </w:r>
    </w:p>
    <w:p w14:paraId="2AD09BEA" w14:textId="77777777" w:rsidR="00381916" w:rsidRPr="00C560E7" w:rsidRDefault="00000000">
      <w:pPr>
        <w:keepNext/>
        <w:spacing w:before="260" w:after="120"/>
        <w:rPr>
          <w:color w:val="000000" w:themeColor="text1"/>
        </w:rPr>
      </w:pPr>
      <w:r>
        <w:rPr>
          <w:b/>
          <w:bCs/>
          <w:color w:val="000000" w:themeColor="text1"/>
          <w:sz w:val="26"/>
          <w:szCs w:val="26"/>
        </w:rPr>
        <w:t>Step 11: Statement of Cash Flows and Statement of Retained Earnings</w:t>
      </w:r>
    </w:p>
    <w:p w14:paraId="1FFA21DF" w14:textId="77777777" w:rsidR="006D5EE0" w:rsidRDefault="00000000">
      <w:pPr>
        <w:spacing w:after="100" w:line="276" w:lineRule="auto"/>
        <w:ind w:left="360" w:hanging="360"/>
        <w:rPr>
          <w:color w:val="000000" w:themeColor="text1"/>
        </w:rPr>
      </w:pPr>
      <w:r>
        <w:rPr>
          <w:color w:val="000000" w:themeColor="text1"/>
        </w:rPr>
        <w:t>➢  Using an AI program, prompt the following:</w:t>
      </w:r>
    </w:p>
    <w:p w14:paraId="59F234E3" w14:textId="77777777" w:rsidR="006D5EE0" w:rsidRDefault="00000000">
      <w:pPr>
        <w:spacing w:after="120" w:line="276" w:lineRule="auto"/>
        <w:ind w:left="720"/>
        <w:rPr>
          <w:color w:val="000000" w:themeColor="text1"/>
        </w:rPr>
      </w:pPr>
      <w:r>
        <w:rPr>
          <w:i/>
          <w:iCs/>
          <w:color w:val="000000" w:themeColor="text1"/>
        </w:rPr>
        <w:t>“I am about to test the statement of cash flows and the statement of retained earnings and confirm that the statements articulate. Can you help me understand (with reference to the indirect-method requirements of ASC 230 and the presentation and disclosure assertions) why net income, depreciation, the gain or loss on disposal, and the changes in working-capital accounts appear as reconciling items, and why a built-in tie-out to the change in cash is a meaningful check? Please explain what it means for the four statements to articulate, and how net income and ending equity should flow among the income statement, the statement of retained earnings, the cash-flow statement, and the balance sheet?”</w:t>
      </w:r>
    </w:p>
    <w:p w14:paraId="3BE3D03E" w14:textId="77777777" w:rsidR="00381916" w:rsidRPr="00C560E7" w:rsidRDefault="00000000">
      <w:pPr>
        <w:spacing w:after="100" w:line="276" w:lineRule="auto"/>
        <w:ind w:left="360" w:hanging="360"/>
        <w:rPr>
          <w:color w:val="000000" w:themeColor="text1"/>
        </w:rPr>
      </w:pPr>
      <w:r>
        <w:rPr>
          <w:color w:val="000000" w:themeColor="text1"/>
        </w:rPr>
        <w:t>➢  Open Statement_of_Cash_Flows_YYYY.xlsx and Statement_of_Retained_Earnings_YYYY.xlsx in the 01_Financial_Statements folder. Both are formula-linked and each carries a built-in tie-out cell that should compute to zero.</w:t>
      </w:r>
    </w:p>
    <w:p w14:paraId="2DB8A3F4" w14:textId="77777777" w:rsidR="00381916" w:rsidRPr="00C560E7" w:rsidRDefault="00000000">
      <w:pPr>
        <w:spacing w:after="100" w:line="276" w:lineRule="auto"/>
        <w:ind w:left="720" w:hanging="360"/>
        <w:rPr>
          <w:color w:val="000000" w:themeColor="text1"/>
        </w:rPr>
      </w:pPr>
      <w:r>
        <w:rPr>
          <w:color w:val="000000" w:themeColor="text1"/>
        </w:rPr>
        <w:t>i. Statement of cash flows (indirect method): agree net income to the income statement, and agree each reconciling adjustment — depreciation, the loss on disposal, and the changes in receivables, inventory, prepaid expenses, payables, accrued and payroll liabilities, sales tax payable, and the warranty and litigation reserves — to the movement between the opening and ending trial balances. Confirm that operating, investing, and financing cash flows sum to the net change in cash.</w:t>
      </w:r>
    </w:p>
    <w:p w14:paraId="1F76A1C8" w14:textId="77777777" w:rsidR="00381916" w:rsidRPr="00C560E7" w:rsidRDefault="00000000">
      <w:pPr>
        <w:spacing w:after="100" w:line="276" w:lineRule="auto"/>
        <w:ind w:left="720" w:hanging="360"/>
        <w:rPr>
          <w:color w:val="000000" w:themeColor="text1"/>
        </w:rPr>
      </w:pPr>
      <w:r>
        <w:rPr>
          <w:color w:val="000000" w:themeColor="text1"/>
        </w:rPr>
        <w:lastRenderedPageBreak/>
        <w:t>ii. Confirm that the net change in cash plus the beginning cash balance equals the ending cash reported on the balance sheet. The statement’s tie-out row should read zero; investigate it if it does not.</w:t>
      </w:r>
    </w:p>
    <w:p w14:paraId="25293CD7" w14:textId="77777777" w:rsidR="00381916" w:rsidRPr="00C560E7" w:rsidRDefault="00000000">
      <w:pPr>
        <w:spacing w:after="100" w:line="276" w:lineRule="auto"/>
        <w:ind w:left="720" w:hanging="360"/>
        <w:rPr>
          <w:color w:val="000000" w:themeColor="text1"/>
        </w:rPr>
      </w:pPr>
      <w:r>
        <w:rPr>
          <w:color w:val="000000" w:themeColor="text1"/>
        </w:rPr>
        <w:t>iii. Statement of retained earnings: verify that beginning retained earnings plus net income less dividends equals ending retained earnings. Because the books are presented unclosed, confirm that ending retained earnings articulates with balance-sheet equity (retained earnings plus current-year net income) and that common equity plus ending retained earnings equals total stockholders’ equity.</w:t>
      </w:r>
    </w:p>
    <w:p w14:paraId="3A0FCD03" w14:textId="77777777" w:rsidR="00381916" w:rsidRPr="00C560E7" w:rsidRDefault="00000000">
      <w:pPr>
        <w:spacing w:after="100" w:line="276" w:lineRule="auto"/>
        <w:ind w:left="720" w:hanging="360"/>
        <w:rPr>
          <w:color w:val="000000" w:themeColor="text1"/>
        </w:rPr>
      </w:pPr>
      <w:r>
        <w:rPr>
          <w:color w:val="000000" w:themeColor="text1"/>
        </w:rPr>
        <w:t>iv. Confirm that the four statements articulate: net income flows from the income statement into both the cash-flow statement and the statement of retained earnings, and ending cash and ending equity tie back to the balance sheet.</w:t>
      </w:r>
    </w:p>
    <w:p w14:paraId="0B38BBD1" w14:textId="77777777" w:rsidR="00BC35CC" w:rsidRDefault="00000000">
      <w:pPr>
        <w:keepNext/>
        <w:spacing w:before="260" w:after="120"/>
        <w:rPr>
          <w:color w:val="000000" w:themeColor="text1"/>
        </w:rPr>
      </w:pPr>
      <w:r>
        <w:rPr>
          <w:b/>
          <w:bCs/>
          <w:color w:val="000000" w:themeColor="text1"/>
          <w:sz w:val="26"/>
          <w:szCs w:val="26"/>
        </w:rPr>
        <w:t>Step 12: Accounts Payable and Search for Unrecorded Liabilities</w:t>
      </w:r>
    </w:p>
    <w:p w14:paraId="1A89FE98" w14:textId="77777777" w:rsidR="00BC35CC" w:rsidRDefault="00000000">
      <w:pPr>
        <w:spacing w:after="100" w:line="276" w:lineRule="auto"/>
        <w:ind w:left="360" w:hanging="360"/>
        <w:rPr>
          <w:color w:val="000000" w:themeColor="text1"/>
        </w:rPr>
      </w:pPr>
      <w:r>
        <w:rPr>
          <w:color w:val="000000" w:themeColor="text1"/>
        </w:rPr>
        <w:t>➢  Using an AI program, prompt the following:</w:t>
      </w:r>
    </w:p>
    <w:p w14:paraId="3AF8D381" w14:textId="77777777" w:rsidR="00BC35CC" w:rsidRDefault="00000000">
      <w:pPr>
        <w:spacing w:after="120" w:line="276" w:lineRule="auto"/>
        <w:ind w:left="720"/>
        <w:rPr>
          <w:color w:val="000000" w:themeColor="text1"/>
        </w:rPr>
      </w:pPr>
      <w:r>
        <w:rPr>
          <w:i/>
          <w:iCs/>
          <w:color w:val="000000" w:themeColor="text1"/>
        </w:rPr>
        <w:t>“I am about to test accounts payable and search for unrecorded liabilities. Can you help me understand (with reference to the relevant standards, such as PCAOB Auditing Standard §2301 on responding to the risks of material misstatement and §1105 on audit evidence) why completeness is the key assertion for payables, and why the search for unrecorded liabilities focuses on cash disbursements and vendor invoices received after year-end? Please explain how matching a vendor invoice to its receiving report supports purchases cutoff, and what a duplicate payment to the same vendor would indicate about the control environment?”</w:t>
      </w:r>
    </w:p>
    <w:p w14:paraId="76D6BDDF" w14:textId="77777777" w:rsidR="00BC35CC" w:rsidRDefault="00000000">
      <w:pPr>
        <w:spacing w:after="100" w:line="276" w:lineRule="auto"/>
        <w:ind w:left="360" w:hanging="360"/>
        <w:rPr>
          <w:color w:val="000000" w:themeColor="text1"/>
        </w:rPr>
      </w:pPr>
      <w:r>
        <w:rPr>
          <w:color w:val="000000" w:themeColor="text1"/>
        </w:rPr>
        <w:t>➢  Open ap_aging_YYYY.xlsx, the vendor invoices in AP_Vendor_Invoices/, and the goods-received notes in Receiving_Reports/.</w:t>
      </w:r>
    </w:p>
    <w:p w14:paraId="273F1531" w14:textId="77777777" w:rsidR="00BC35CC" w:rsidRDefault="00000000">
      <w:pPr>
        <w:spacing w:after="80" w:line="276" w:lineRule="auto"/>
        <w:ind w:left="1080" w:hanging="360"/>
        <w:rPr>
          <w:color w:val="000000" w:themeColor="text1"/>
        </w:rPr>
      </w:pPr>
      <w:r>
        <w:rPr>
          <w:color w:val="000000" w:themeColor="text1"/>
        </w:rPr>
        <w:t>i. Agree the AP aging total to accounts payable (2000) on the trial balance.</w:t>
      </w:r>
    </w:p>
    <w:p w14:paraId="3A1CB1F9" w14:textId="77777777" w:rsidR="00BC35CC" w:rsidRDefault="00000000">
      <w:pPr>
        <w:spacing w:after="80" w:line="276" w:lineRule="auto"/>
        <w:ind w:left="1080" w:hanging="360"/>
        <w:rPr>
          <w:color w:val="000000" w:themeColor="text1"/>
        </w:rPr>
      </w:pPr>
      <w:r>
        <w:rPr>
          <w:color w:val="000000" w:themeColor="text1"/>
        </w:rPr>
        <w:t>ii. For a sample of vendor invoices, match the invoice to its goods-received note and to the payment in Check_Copies/. Confirm that goods received on or before year-end are recorded as payables in the audit year and that goods received after year-end are not (purchases cutoff).</w:t>
      </w:r>
    </w:p>
    <w:p w14:paraId="79E467A2" w14:textId="77777777" w:rsidR="00BC35CC" w:rsidRDefault="00000000">
      <w:pPr>
        <w:spacing w:after="80" w:line="276" w:lineRule="auto"/>
        <w:ind w:left="1080" w:hanging="360"/>
        <w:rPr>
          <w:color w:val="000000" w:themeColor="text1"/>
        </w:rPr>
      </w:pPr>
      <w:r>
        <w:rPr>
          <w:color w:val="000000" w:themeColor="text1"/>
        </w:rPr>
        <w:t>iii. Scan the payment population for duplicate payments — the same vendor paid twice for the same invoice number or the same amount. Flag any apparent duplicate and consider both the misstatement and the control implication.</w:t>
      </w:r>
    </w:p>
    <w:p w14:paraId="4A68AB4F" w14:textId="77777777" w:rsidR="00BC35CC" w:rsidRDefault="00000000">
      <w:pPr>
        <w:spacing w:after="80" w:line="276" w:lineRule="auto"/>
        <w:ind w:left="1080" w:hanging="360"/>
        <w:rPr>
          <w:color w:val="000000" w:themeColor="text1"/>
        </w:rPr>
      </w:pPr>
      <w:r>
        <w:rPr>
          <w:color w:val="000000" w:themeColor="text1"/>
        </w:rPr>
        <w:t>iv. Search for unrecorded liabilities: review the January disbursements and the vendor invoices in 12_Subsequent_Events/ for goods or services received on or before year-end that are not recorded at year-end, and propose an adjustment where needed.</w:t>
      </w:r>
    </w:p>
    <w:p w14:paraId="2C80E079" w14:textId="77777777" w:rsidR="00BC35CC" w:rsidRDefault="00000000">
      <w:pPr>
        <w:keepNext/>
        <w:spacing w:before="260" w:after="120"/>
        <w:rPr>
          <w:color w:val="000000" w:themeColor="text1"/>
        </w:rPr>
      </w:pPr>
      <w:r>
        <w:rPr>
          <w:b/>
          <w:bCs/>
          <w:color w:val="000000" w:themeColor="text1"/>
          <w:sz w:val="26"/>
          <w:szCs w:val="26"/>
        </w:rPr>
        <w:t>Step 13: Subsequent Events</w:t>
      </w:r>
    </w:p>
    <w:p w14:paraId="67305593" w14:textId="77777777" w:rsidR="00BC35CC" w:rsidRDefault="00000000">
      <w:pPr>
        <w:spacing w:after="100" w:line="276" w:lineRule="auto"/>
        <w:ind w:left="360" w:hanging="360"/>
        <w:rPr>
          <w:color w:val="000000" w:themeColor="text1"/>
        </w:rPr>
      </w:pPr>
      <w:r>
        <w:rPr>
          <w:color w:val="000000" w:themeColor="text1"/>
        </w:rPr>
        <w:t>➢  Using an AI program, prompt the following:</w:t>
      </w:r>
    </w:p>
    <w:p w14:paraId="444FDD84" w14:textId="77777777" w:rsidR="00BC35CC" w:rsidRDefault="00000000">
      <w:pPr>
        <w:spacing w:after="120" w:line="276" w:lineRule="auto"/>
        <w:ind w:left="720"/>
        <w:rPr>
          <w:color w:val="000000" w:themeColor="text1"/>
        </w:rPr>
      </w:pPr>
      <w:r>
        <w:rPr>
          <w:i/>
          <w:iCs/>
          <w:color w:val="000000" w:themeColor="text1"/>
        </w:rPr>
        <w:t>“I am about to review subsequent events. Can you help me understand (with reference to the relevant standards, such as PCAOB Auditing Standard §2801 on subsequent events and ASC 855) the difference between events that require adjustment of the financial statements and events that require disclosure only? Please explain why reading board minutes and inspecting cash receipts and disbursements after year-end are standard subsequent-events procedures, and how a January collection on a year-end receivable bears on the valuation of that receivable and the allowance?”</w:t>
      </w:r>
    </w:p>
    <w:p w14:paraId="46F1E71F" w14:textId="77777777" w:rsidR="00BC35CC" w:rsidRDefault="00000000">
      <w:pPr>
        <w:spacing w:after="100" w:line="276" w:lineRule="auto"/>
        <w:ind w:left="360" w:hanging="360"/>
        <w:rPr>
          <w:color w:val="000000" w:themeColor="text1"/>
        </w:rPr>
      </w:pPr>
      <w:r>
        <w:rPr>
          <w:color w:val="000000" w:themeColor="text1"/>
        </w:rPr>
        <w:t>➢  Open the documents in 12_Subsequent_Events/: the January cash receipts and disbursements listings, the vendor invoices in Vendor_Invoices_January/, and the board minutes.</w:t>
      </w:r>
    </w:p>
    <w:p w14:paraId="493C65C1" w14:textId="77777777" w:rsidR="00BC35CC" w:rsidRDefault="00000000">
      <w:pPr>
        <w:spacing w:after="80" w:line="276" w:lineRule="auto"/>
        <w:ind w:left="1080" w:hanging="360"/>
        <w:rPr>
          <w:color w:val="000000" w:themeColor="text1"/>
        </w:rPr>
      </w:pPr>
      <w:r>
        <w:rPr>
          <w:color w:val="000000" w:themeColor="text1"/>
        </w:rPr>
        <w:lastRenderedPageBreak/>
        <w:t>i. Read the board minutes for matters bearing on the year-end statements (litigation, financing, dividends, commitments, and related-party matters).</w:t>
      </w:r>
    </w:p>
    <w:p w14:paraId="2D18809F" w14:textId="77777777" w:rsidR="00BC35CC" w:rsidRDefault="00000000">
      <w:pPr>
        <w:spacing w:after="80" w:line="276" w:lineRule="auto"/>
        <w:ind w:left="1080" w:hanging="360"/>
        <w:rPr>
          <w:color w:val="000000" w:themeColor="text1"/>
        </w:rPr>
      </w:pPr>
      <w:r>
        <w:rPr>
          <w:color w:val="000000" w:themeColor="text1"/>
        </w:rPr>
        <w:t>ii. Trace the January cash receipts to year-end receivable balances and consider what they indicate about collectibility and the allowance (coordinate with Step 3).</w:t>
      </w:r>
    </w:p>
    <w:p w14:paraId="200B0FA2" w14:textId="77777777" w:rsidR="00BC35CC" w:rsidRDefault="00000000">
      <w:pPr>
        <w:spacing w:after="80" w:line="276" w:lineRule="auto"/>
        <w:ind w:left="1080" w:hanging="360"/>
        <w:rPr>
          <w:color w:val="000000" w:themeColor="text1"/>
        </w:rPr>
      </w:pPr>
      <w:r>
        <w:rPr>
          <w:color w:val="000000" w:themeColor="text1"/>
        </w:rPr>
        <w:t>iii. Review the January disbursements and vendor invoices for liabilities that belong in the audit year (this completes the Step 12 search for unrecorded liabilities).</w:t>
      </w:r>
    </w:p>
    <w:p w14:paraId="63637258" w14:textId="77777777" w:rsidR="00BC35CC" w:rsidRDefault="00000000">
      <w:pPr>
        <w:spacing w:after="80" w:line="276" w:lineRule="auto"/>
        <w:ind w:left="1080" w:hanging="360"/>
        <w:rPr>
          <w:color w:val="000000" w:themeColor="text1"/>
        </w:rPr>
      </w:pPr>
      <w:r>
        <w:rPr>
          <w:color w:val="000000" w:themeColor="text1"/>
        </w:rPr>
        <w:t>iv. Conclude whether any subsequent event requires adjustment or disclosure under ASC 855; carry any proposed adjustment to Proposed_Adjusting_Entries_YYYY.xlsx and any control finding to Control_Deficiency_Log_YYYY.xlsx.</w:t>
      </w:r>
    </w:p>
    <w:p w14:paraId="218F0B68" w14:textId="77777777" w:rsidR="004E41BC" w:rsidRDefault="004E41BC" w:rsidP="004E41BC">
      <w:pPr>
        <w:rPr>
          <w:b/>
          <w:bCs/>
          <w:color w:val="000000" w:themeColor="text1"/>
          <w:sz w:val="26"/>
          <w:szCs w:val="26"/>
        </w:rPr>
      </w:pPr>
    </w:p>
    <w:p w14:paraId="58B61E80" w14:textId="7D50D883" w:rsidR="00381916" w:rsidRPr="00C560E7" w:rsidRDefault="00000000" w:rsidP="004E41BC">
      <w:pPr>
        <w:rPr>
          <w:color w:val="000000" w:themeColor="text1"/>
        </w:rPr>
      </w:pPr>
      <w:r>
        <w:rPr>
          <w:b/>
          <w:bCs/>
          <w:color w:val="000000" w:themeColor="text1"/>
          <w:sz w:val="26"/>
          <w:szCs w:val="26"/>
        </w:rPr>
        <w:t>Items to turn in</w:t>
      </w:r>
    </w:p>
    <w:p w14:paraId="5DBCFBD3" w14:textId="77777777" w:rsidR="00381916" w:rsidRPr="00C560E7" w:rsidRDefault="00000000">
      <w:pPr>
        <w:spacing w:after="120" w:line="276" w:lineRule="auto"/>
        <w:ind w:left="360" w:hanging="360"/>
        <w:rPr>
          <w:color w:val="000000" w:themeColor="text1"/>
        </w:rPr>
      </w:pPr>
      <w:r>
        <w:rPr>
          <w:b/>
          <w:bCs/>
          <w:color w:val="000000" w:themeColor="text1"/>
        </w:rPr>
        <w:t xml:space="preserve">1. </w:t>
      </w:r>
      <w:r>
        <w:rPr>
          <w:color w:val="000000" w:themeColor="text1"/>
        </w:rPr>
        <w:t>Risk assessment memo (1–2 pages): Document the three highest-risk FSLIs, your analytical review findings, and the business explanations you considered.</w:t>
      </w:r>
    </w:p>
    <w:p w14:paraId="3615BA00" w14:textId="77777777" w:rsidR="00381916" w:rsidRPr="00C560E7" w:rsidRDefault="00000000">
      <w:pPr>
        <w:spacing w:after="120" w:line="276" w:lineRule="auto"/>
        <w:ind w:left="360" w:hanging="360"/>
        <w:rPr>
          <w:color w:val="000000" w:themeColor="text1"/>
        </w:rPr>
      </w:pPr>
      <w:r>
        <w:rPr>
          <w:b/>
          <w:bCs/>
          <w:color w:val="000000" w:themeColor="text1"/>
        </w:rPr>
        <w:t xml:space="preserve">2. </w:t>
      </w:r>
      <w:r>
        <w:rPr>
          <w:color w:val="000000" w:themeColor="text1"/>
        </w:rPr>
        <w:t>Materiality worksheet: Complete the Materiality tab in Tieout_Workbook_YYYY.xlsx with your chosen benchmarks, thresholds, and rationale.</w:t>
      </w:r>
    </w:p>
    <w:p w14:paraId="7A8D5E80" w14:textId="77777777" w:rsidR="00381916" w:rsidRPr="00C560E7" w:rsidRDefault="00000000">
      <w:pPr>
        <w:spacing w:after="120" w:line="276" w:lineRule="auto"/>
        <w:ind w:left="360" w:hanging="360"/>
        <w:rPr>
          <w:color w:val="000000" w:themeColor="text1"/>
        </w:rPr>
      </w:pPr>
      <w:r>
        <w:rPr>
          <w:b/>
          <w:bCs/>
          <w:color w:val="000000" w:themeColor="text1"/>
        </w:rPr>
        <w:t xml:space="preserve">3. </w:t>
      </w:r>
      <w:r>
        <w:rPr>
          <w:color w:val="000000" w:themeColor="text1"/>
        </w:rPr>
        <w:t xml:space="preserve">Audit workpapers: Complete the workpaper templates in </w:t>
      </w:r>
      <w:r>
        <w:rPr>
          <w:b/>
          <w:bCs/>
          <w:color w:val="000000" w:themeColor="text1"/>
        </w:rPr>
        <w:t>Audit_Workpapers_YYYY.xlsx</w:t>
      </w:r>
      <w:r>
        <w:rPr>
          <w:color w:val="000000" w:themeColor="text1"/>
        </w:rPr>
        <w:t xml:space="preserve"> (one tab per cycle). For each cycle, document the objective, assertion(s) addressed, population, sample selected, evidence inspected, exception(s) identified, the net exception carried to a proposed AJE, and a conclusion. State a separate conclusion for each workpaper: no exception, proposed adjustment, further evidence needed, or control deficiency identified.</w:t>
      </w:r>
    </w:p>
    <w:p w14:paraId="1C6F3FCD" w14:textId="77777777" w:rsidR="00381916" w:rsidRPr="00C560E7" w:rsidRDefault="00000000">
      <w:pPr>
        <w:spacing w:after="120" w:line="276" w:lineRule="auto"/>
        <w:ind w:left="360" w:hanging="360"/>
        <w:rPr>
          <w:color w:val="000000" w:themeColor="text1"/>
        </w:rPr>
      </w:pPr>
      <w:r>
        <w:rPr>
          <w:b/>
          <w:bCs/>
          <w:color w:val="000000" w:themeColor="text1"/>
        </w:rPr>
        <w:t xml:space="preserve">4. </w:t>
      </w:r>
      <w:r>
        <w:rPr>
          <w:color w:val="000000" w:themeColor="text1"/>
        </w:rPr>
        <w:t xml:space="preserve">Proposed adjusting entries and summary of misstatements: Record your proposed AJEs in </w:t>
      </w:r>
      <w:r>
        <w:rPr>
          <w:b/>
          <w:bCs/>
          <w:color w:val="000000" w:themeColor="text1"/>
        </w:rPr>
        <w:t>Proposed_Adjusting_Entries_YYYY.xlsx</w:t>
      </w:r>
      <w:r>
        <w:rPr>
          <w:color w:val="000000" w:themeColor="text1"/>
        </w:rPr>
        <w:t>. Each entry must balance (the Balance Check column verifies debits equal credits). The Summary_of_Misstatements tab aggregates your entries by FSLI and compares the total to performance and overall materiality.</w:t>
      </w:r>
    </w:p>
    <w:p w14:paraId="72EF5324" w14:textId="77777777" w:rsidR="00381916" w:rsidRPr="00C560E7" w:rsidRDefault="00000000">
      <w:pPr>
        <w:spacing w:after="120" w:line="276" w:lineRule="auto"/>
        <w:ind w:left="360" w:hanging="360"/>
        <w:rPr>
          <w:color w:val="000000" w:themeColor="text1"/>
        </w:rPr>
      </w:pPr>
      <w:r>
        <w:rPr>
          <w:b/>
          <w:bCs/>
          <w:color w:val="000000" w:themeColor="text1"/>
        </w:rPr>
        <w:t xml:space="preserve">5. </w:t>
      </w:r>
      <w:r>
        <w:rPr>
          <w:color w:val="000000" w:themeColor="text1"/>
        </w:rPr>
        <w:t xml:space="preserve">Control-deficiency evaluation: Complete </w:t>
      </w:r>
      <w:r>
        <w:rPr>
          <w:b/>
          <w:bCs/>
          <w:color w:val="000000" w:themeColor="text1"/>
        </w:rPr>
        <w:t>Control_Deficiency_Log_YYYY.xlsx</w:t>
      </w:r>
      <w:r>
        <w:rPr>
          <w:color w:val="000000" w:themeColor="text1"/>
        </w:rPr>
        <w:t xml:space="preserve"> in </w:t>
      </w:r>
      <w:r>
        <w:rPr>
          <w:b/>
          <w:bCs/>
          <w:color w:val="000000" w:themeColor="text1"/>
        </w:rPr>
        <w:t>13_Internal_Controls</w:t>
      </w:r>
      <w:r>
        <w:rPr>
          <w:color w:val="000000" w:themeColor="text1"/>
        </w:rPr>
        <w:t>. For each exception you found, classify it as a dollar misstatement, a control deficiency, both, or a disclosure matter, and assess its severity (deficiency, significant deficiency, or material weakness). Distinguish clearly among misstatement, control deficiency, scope limitation, disclosure matter, and estimate uncertainty.</w:t>
      </w:r>
    </w:p>
    <w:p w14:paraId="62558AB5" w14:textId="77777777" w:rsidR="00381916" w:rsidRPr="00C560E7" w:rsidRDefault="00000000">
      <w:pPr>
        <w:spacing w:after="120" w:line="276" w:lineRule="auto"/>
        <w:ind w:left="360" w:hanging="360"/>
        <w:rPr>
          <w:color w:val="000000" w:themeColor="text1"/>
        </w:rPr>
      </w:pPr>
      <w:r>
        <w:rPr>
          <w:b/>
          <w:bCs/>
          <w:color w:val="000000" w:themeColor="text1"/>
        </w:rPr>
        <w:t xml:space="preserve">6. </w:t>
      </w:r>
      <w:r>
        <w:rPr>
          <w:color w:val="000000" w:themeColor="text1"/>
        </w:rPr>
        <w:t>Draft audit opinion: Based on your findings, draft a short-form audit opinion (unqualified, qualified, adverse, or disclaimer). Justify your choice.</w:t>
      </w:r>
    </w:p>
    <w:p w14:paraId="06B71AB3" w14:textId="77777777" w:rsidR="00381916" w:rsidRPr="00C560E7" w:rsidRDefault="00000000">
      <w:pPr>
        <w:spacing w:after="120" w:line="276" w:lineRule="auto"/>
        <w:ind w:left="360" w:hanging="360"/>
        <w:rPr>
          <w:color w:val="000000" w:themeColor="text1"/>
        </w:rPr>
      </w:pPr>
      <w:r>
        <w:rPr>
          <w:b/>
          <w:bCs/>
          <w:color w:val="000000" w:themeColor="text1"/>
        </w:rPr>
        <w:t xml:space="preserve">7. </w:t>
      </w:r>
      <w:r>
        <w:rPr>
          <w:color w:val="000000" w:themeColor="text1"/>
        </w:rPr>
        <w:t>Management estimates and related-party memo: Briefly summarize your procedures and conclusions for the allowance for doubtful accounts, warranty reserve, litigation reserve, and related-party vendor disclosure.</w:t>
      </w:r>
    </w:p>
    <w:p w14:paraId="3987E971" w14:textId="77777777" w:rsidR="00381916" w:rsidRPr="00C560E7" w:rsidRDefault="00000000">
      <w:pPr>
        <w:spacing w:before="320" w:after="140"/>
        <w:rPr>
          <w:color w:val="000000" w:themeColor="text1"/>
        </w:rPr>
      </w:pPr>
      <w:r>
        <w:rPr>
          <w:b/>
          <w:bCs/>
          <w:color w:val="000000" w:themeColor="text1"/>
          <w:sz w:val="28"/>
          <w:szCs w:val="28"/>
        </w:rPr>
        <w:t>Appendix: File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35"/>
        <w:gridCol w:w="5035"/>
      </w:tblGrid>
      <w:tr w:rsidR="00381916" w:rsidRPr="00C560E7" w14:paraId="7761E55C" w14:textId="77777777">
        <w:trPr>
          <w:tblHeader/>
        </w:trPr>
        <w:tc>
          <w:tcPr>
            <w:tcW w:w="2500" w:type="pct"/>
            <w:tcBorders>
              <w:top w:val="single" w:sz="4" w:space="0" w:color="BBBBBB"/>
              <w:left w:val="single" w:sz="4" w:space="0" w:color="BBBBBB"/>
              <w:bottom w:val="single" w:sz="4" w:space="0" w:color="BBBBBB"/>
              <w:right w:val="single" w:sz="4" w:space="0" w:color="BBBBBB"/>
            </w:tcBorders>
            <w:shd w:val="clear" w:color="auto" w:fill="2E5B9E"/>
            <w:tcMar>
              <w:top w:w="70" w:type="dxa"/>
              <w:left w:w="90" w:type="dxa"/>
              <w:bottom w:w="70" w:type="dxa"/>
              <w:right w:w="90" w:type="dxa"/>
            </w:tcMar>
          </w:tcPr>
          <w:p w14:paraId="2E137888" w14:textId="77777777" w:rsidR="00381916" w:rsidRPr="00C560E7" w:rsidRDefault="00000000">
            <w:pPr>
              <w:rPr>
                <w:color w:val="000000" w:themeColor="text1"/>
              </w:rPr>
            </w:pPr>
            <w:r>
              <w:rPr>
                <w:b/>
                <w:bCs/>
                <w:color w:val="000000" w:themeColor="text1"/>
              </w:rPr>
              <w:t>File / Folder</w:t>
            </w:r>
          </w:p>
        </w:tc>
        <w:tc>
          <w:tcPr>
            <w:tcW w:w="2500" w:type="pct"/>
            <w:tcBorders>
              <w:top w:val="single" w:sz="4" w:space="0" w:color="BBBBBB"/>
              <w:left w:val="single" w:sz="4" w:space="0" w:color="BBBBBB"/>
              <w:bottom w:val="single" w:sz="4" w:space="0" w:color="BBBBBB"/>
              <w:right w:val="single" w:sz="4" w:space="0" w:color="BBBBBB"/>
            </w:tcBorders>
            <w:shd w:val="clear" w:color="auto" w:fill="2E5B9E"/>
            <w:tcMar>
              <w:top w:w="70" w:type="dxa"/>
              <w:left w:w="90" w:type="dxa"/>
              <w:bottom w:w="70" w:type="dxa"/>
              <w:right w:w="90" w:type="dxa"/>
            </w:tcMar>
          </w:tcPr>
          <w:p w14:paraId="3C03C323" w14:textId="77777777" w:rsidR="00381916" w:rsidRPr="00C560E7" w:rsidRDefault="00000000">
            <w:pPr>
              <w:rPr>
                <w:color w:val="000000" w:themeColor="text1"/>
              </w:rPr>
            </w:pPr>
            <w:r>
              <w:rPr>
                <w:b/>
                <w:bCs/>
                <w:color w:val="000000" w:themeColor="text1"/>
              </w:rPr>
              <w:t>Purpose</w:t>
            </w:r>
          </w:p>
        </w:tc>
      </w:tr>
      <w:tr w:rsidR="00381916" w:rsidRPr="00C560E7" w14:paraId="07C2FD8B"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1A8FDDA" w14:textId="77777777" w:rsidR="00381916" w:rsidRPr="00C560E7" w:rsidRDefault="00000000">
            <w:pPr>
              <w:spacing w:line="252" w:lineRule="auto"/>
              <w:rPr>
                <w:color w:val="000000" w:themeColor="text1"/>
              </w:rPr>
            </w:pPr>
            <w:r>
              <w:rPr>
                <w:b/>
                <w:bCs/>
                <w:color w:val="000000" w:themeColor="text1"/>
              </w:rPr>
              <w:t>00_Start_Here / PBC_Request_List_YYYY.xlsx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B1F3863" w14:textId="77777777" w:rsidR="00381916" w:rsidRPr="00C560E7" w:rsidRDefault="00000000">
            <w:pPr>
              <w:spacing w:line="252" w:lineRule="auto"/>
              <w:rPr>
                <w:color w:val="000000" w:themeColor="text1"/>
              </w:rPr>
            </w:pPr>
            <w:r>
              <w:rPr>
                <w:color w:val="000000" w:themeColor="text1"/>
              </w:rPr>
              <w:t>Prepared-by-client request list and evidence-tracking workflow: status, due/received dates, an automatic completeness check, and follow-up notes</w:t>
            </w:r>
          </w:p>
        </w:tc>
      </w:tr>
      <w:tr w:rsidR="00BC35CC" w14:paraId="161DB01E"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E8578B0" w14:textId="77777777" w:rsidR="00BC35CC" w:rsidRDefault="00000000">
            <w:pPr>
              <w:spacing w:line="252" w:lineRule="auto"/>
              <w:rPr>
                <w:color w:val="000000" w:themeColor="text1"/>
              </w:rPr>
            </w:pPr>
            <w:r>
              <w:rPr>
                <w:b/>
                <w:bCs/>
                <w:color w:val="000000" w:themeColor="text1"/>
              </w:rPr>
              <w:t>00_Start_Here / engagement_letter_YYYY.pdf / chart_of_accounts.csv</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173E4CF" w14:textId="77777777" w:rsidR="00BC35CC" w:rsidRDefault="00000000">
            <w:pPr>
              <w:spacing w:line="252" w:lineRule="auto"/>
              <w:rPr>
                <w:color w:val="000000" w:themeColor="text1"/>
              </w:rPr>
            </w:pPr>
            <w:r>
              <w:rPr>
                <w:color w:val="000000" w:themeColor="text1"/>
              </w:rPr>
              <w:t>Engagement letter establishing the scope of the audit, and the chart of accounts (account numbers, names, and types)</w:t>
            </w:r>
          </w:p>
        </w:tc>
      </w:tr>
      <w:tr w:rsidR="00381916" w:rsidRPr="00C560E7" w14:paraId="013F52E4"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BFA3D5A" w14:textId="77777777" w:rsidR="00381916" w:rsidRPr="00C560E7" w:rsidRDefault="00000000">
            <w:pPr>
              <w:spacing w:line="252" w:lineRule="auto"/>
              <w:rPr>
                <w:color w:val="000000" w:themeColor="text1"/>
              </w:rPr>
            </w:pPr>
            <w:r>
              <w:rPr>
                <w:b/>
                <w:bCs/>
                <w:color w:val="000000" w:themeColor="text1"/>
              </w:rPr>
              <w:lastRenderedPageBreak/>
              <w:t>financial_statements.pdf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A105FFE" w14:textId="77777777" w:rsidR="00381916" w:rsidRPr="00C560E7" w:rsidRDefault="00000000">
            <w:pPr>
              <w:spacing w:line="252" w:lineRule="auto"/>
              <w:rPr>
                <w:color w:val="000000" w:themeColor="text1"/>
              </w:rPr>
            </w:pPr>
            <w:r>
              <w:rPr>
                <w:color w:val="000000" w:themeColor="text1"/>
              </w:rPr>
              <w:t>Income statement and balance sheet for both years</w:t>
            </w:r>
          </w:p>
        </w:tc>
      </w:tr>
      <w:tr w:rsidR="00BC35CC" w14:paraId="323A69D0"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55BB078" w14:textId="77777777" w:rsidR="00BC35CC" w:rsidRDefault="00000000">
            <w:pPr>
              <w:spacing w:line="252" w:lineRule="auto"/>
              <w:rPr>
                <w:color w:val="000000" w:themeColor="text1"/>
              </w:rPr>
            </w:pPr>
            <w:r>
              <w:rPr>
                <w:b/>
                <w:bCs/>
                <w:color w:val="000000" w:themeColor="text1"/>
              </w:rPr>
              <w:t>Financial_Statements_YYYY.pdf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98DDBE9" w14:textId="77777777" w:rsidR="00BC35CC" w:rsidRDefault="00000000">
            <w:pPr>
              <w:spacing w:line="252" w:lineRule="auto"/>
              <w:rPr>
                <w:color w:val="000000" w:themeColor="text1"/>
              </w:rPr>
            </w:pPr>
            <w:r>
              <w:rPr>
                <w:color w:val="000000" w:themeColor="text1"/>
              </w:rPr>
              <w:t>Current-year income statement, balance sheet, and materiality summary</w:t>
            </w:r>
          </w:p>
        </w:tc>
      </w:tr>
      <w:tr w:rsidR="00381916" w:rsidRPr="00C560E7" w14:paraId="58931972"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5FA272F" w14:textId="77777777" w:rsidR="00381916" w:rsidRPr="00C560E7" w:rsidRDefault="00000000">
            <w:pPr>
              <w:spacing w:line="252" w:lineRule="auto"/>
              <w:rPr>
                <w:color w:val="000000" w:themeColor="text1"/>
              </w:rPr>
            </w:pPr>
            <w:r>
              <w:rPr>
                <w:b/>
                <w:bCs/>
                <w:color w:val="000000" w:themeColor="text1"/>
              </w:rPr>
              <w:t>Comparative_Financial_Statements_YYYY.xlsx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8BDE8A6" w14:textId="77777777" w:rsidR="00381916" w:rsidRPr="00C560E7" w:rsidRDefault="00000000">
            <w:pPr>
              <w:spacing w:line="252" w:lineRule="auto"/>
              <w:rPr>
                <w:color w:val="000000" w:themeColor="text1"/>
              </w:rPr>
            </w:pPr>
            <w:r>
              <w:rPr>
                <w:color w:val="000000" w:themeColor="text1"/>
              </w:rPr>
              <w:t>Formula-linked comparative income statement and balance sheet with live year-over-year change percentages</w:t>
            </w:r>
          </w:p>
        </w:tc>
      </w:tr>
      <w:tr w:rsidR="00381916" w:rsidRPr="00C560E7" w14:paraId="6CED9D61"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E440EE5" w14:textId="77777777" w:rsidR="00381916" w:rsidRPr="00C560E7" w:rsidRDefault="00000000">
            <w:pPr>
              <w:spacing w:line="252" w:lineRule="auto"/>
              <w:rPr>
                <w:color w:val="000000" w:themeColor="text1"/>
              </w:rPr>
            </w:pPr>
            <w:r>
              <w:rPr>
                <w:b/>
                <w:bCs/>
                <w:color w:val="000000" w:themeColor="text1"/>
              </w:rPr>
              <w:t>Statement_of_Cash_Flows_YYYY.xlsx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33FC30EC" w14:textId="77777777" w:rsidR="00381916" w:rsidRPr="00C560E7" w:rsidRDefault="00000000">
            <w:pPr>
              <w:spacing w:line="252" w:lineRule="auto"/>
              <w:rPr>
                <w:color w:val="000000" w:themeColor="text1"/>
              </w:rPr>
            </w:pPr>
            <w:r>
              <w:rPr>
                <w:color w:val="000000" w:themeColor="text1"/>
              </w:rPr>
              <w:t>Formula-linked statement of cash flows (indirect method) with a built-in tie-out to the change in the cash balance</w:t>
            </w:r>
          </w:p>
        </w:tc>
      </w:tr>
      <w:tr w:rsidR="00381916" w:rsidRPr="00C560E7" w14:paraId="63607DB6"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2BB95A9" w14:textId="77777777" w:rsidR="00381916" w:rsidRPr="00C560E7" w:rsidRDefault="00000000">
            <w:pPr>
              <w:spacing w:line="252" w:lineRule="auto"/>
              <w:rPr>
                <w:color w:val="000000" w:themeColor="text1"/>
              </w:rPr>
            </w:pPr>
            <w:r>
              <w:rPr>
                <w:b/>
                <w:bCs/>
                <w:color w:val="000000" w:themeColor="text1"/>
              </w:rPr>
              <w:t>Statement_of_Retained_Earnings_YYYY.xlsx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1696550" w14:textId="77777777" w:rsidR="00381916" w:rsidRPr="00C560E7" w:rsidRDefault="00000000">
            <w:pPr>
              <w:spacing w:line="252" w:lineRule="auto"/>
              <w:rPr>
                <w:color w:val="000000" w:themeColor="text1"/>
              </w:rPr>
            </w:pPr>
            <w:r>
              <w:rPr>
                <w:color w:val="000000" w:themeColor="text1"/>
              </w:rPr>
              <w:t>Formula-linked statement of retained earnings (beginning RE + net income − dividends = ending RE) with a built-in tie-out to balance-sheet equity</w:t>
            </w:r>
          </w:p>
        </w:tc>
      </w:tr>
      <w:tr w:rsidR="00381916" w:rsidRPr="00C560E7" w14:paraId="4816BF89"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7C38C2F" w14:textId="77777777" w:rsidR="00381916" w:rsidRPr="00C560E7" w:rsidRDefault="00000000">
            <w:pPr>
              <w:spacing w:line="252" w:lineRule="auto"/>
              <w:rPr>
                <w:color w:val="000000" w:themeColor="text1"/>
              </w:rPr>
            </w:pPr>
            <w:r>
              <w:rPr>
                <w:b/>
                <w:bCs/>
                <w:color w:val="000000" w:themeColor="text1"/>
              </w:rPr>
              <w:t>opening_trial_balance_YYYY.csv</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3E58B1D" w14:textId="77777777" w:rsidR="00381916" w:rsidRPr="00C560E7" w:rsidRDefault="00000000">
            <w:pPr>
              <w:spacing w:line="252" w:lineRule="auto"/>
              <w:rPr>
                <w:color w:val="000000" w:themeColor="text1"/>
              </w:rPr>
            </w:pPr>
            <w:r>
              <w:rPr>
                <w:color w:val="000000" w:themeColor="text1"/>
              </w:rPr>
              <w:t>Account-level balances at the start of the audit year</w:t>
            </w:r>
          </w:p>
        </w:tc>
      </w:tr>
      <w:tr w:rsidR="00381916" w:rsidRPr="00C560E7" w14:paraId="1AA8E8CD"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BBEC91B" w14:textId="77777777" w:rsidR="00381916" w:rsidRPr="00C560E7" w:rsidRDefault="00000000">
            <w:pPr>
              <w:spacing w:line="252" w:lineRule="auto"/>
              <w:rPr>
                <w:color w:val="000000" w:themeColor="text1"/>
              </w:rPr>
            </w:pPr>
            <w:r>
              <w:rPr>
                <w:b/>
                <w:bCs/>
                <w:color w:val="000000" w:themeColor="text1"/>
              </w:rPr>
              <w:t>ending_trial_balance_from_JV_YYYY.csv</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135DE95" w14:textId="77777777" w:rsidR="00381916" w:rsidRPr="00C560E7" w:rsidRDefault="00000000">
            <w:pPr>
              <w:spacing w:line="252" w:lineRule="auto"/>
              <w:rPr>
                <w:color w:val="000000" w:themeColor="text1"/>
              </w:rPr>
            </w:pPr>
            <w:r>
              <w:rPr>
                <w:color w:val="000000" w:themeColor="text1"/>
              </w:rPr>
              <w:t>Ending balances derived from journal entries (unaudited); also provided as a formula-linked .xlsx with live Activity/Ending columns</w:t>
            </w:r>
          </w:p>
        </w:tc>
      </w:tr>
      <w:tr w:rsidR="00381916" w:rsidRPr="00C560E7" w14:paraId="2B5A37D1"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CF7BED0" w14:textId="77777777" w:rsidR="00381916" w:rsidRPr="00C560E7" w:rsidRDefault="00000000">
            <w:pPr>
              <w:spacing w:line="252" w:lineRule="auto"/>
              <w:rPr>
                <w:color w:val="000000" w:themeColor="text1"/>
              </w:rPr>
            </w:pPr>
            <w:r>
              <w:rPr>
                <w:b/>
                <w:bCs/>
                <w:color w:val="000000" w:themeColor="text1"/>
              </w:rPr>
              <w:t>jv_listing_lines_YYYY.csv</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7601033" w14:textId="77777777" w:rsidR="00381916" w:rsidRPr="00C560E7" w:rsidRDefault="00000000">
            <w:pPr>
              <w:spacing w:line="252" w:lineRule="auto"/>
              <w:rPr>
                <w:color w:val="000000" w:themeColor="text1"/>
              </w:rPr>
            </w:pPr>
            <w:r>
              <w:rPr>
                <w:color w:val="000000" w:themeColor="text1"/>
              </w:rPr>
              <w:t>Every debit and credit posted during the year — the Journal Voucher (JV) listing</w:t>
            </w:r>
          </w:p>
        </w:tc>
      </w:tr>
      <w:tr w:rsidR="00381916" w:rsidRPr="00C560E7" w14:paraId="5AE9E667"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3F1C04BF" w14:textId="77777777" w:rsidR="00381916" w:rsidRPr="00C560E7" w:rsidRDefault="00000000">
            <w:pPr>
              <w:spacing w:line="252" w:lineRule="auto"/>
              <w:rPr>
                <w:color w:val="000000" w:themeColor="text1"/>
              </w:rPr>
            </w:pPr>
            <w:r>
              <w:rPr>
                <w:b/>
                <w:bCs/>
                <w:color w:val="000000" w:themeColor="text1"/>
              </w:rPr>
              <w:t>payroll_roster.csv / payroll_monthly_summary_YYYY.xlsx / Payroll_Workpaper_YYYY.pdf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30EEF997" w14:textId="77777777" w:rsidR="00381916" w:rsidRPr="00C560E7" w:rsidRDefault="00000000">
            <w:pPr>
              <w:spacing w:line="252" w:lineRule="auto"/>
              <w:rPr>
                <w:color w:val="000000" w:themeColor="text1"/>
              </w:rPr>
            </w:pPr>
            <w:r>
              <w:rPr>
                <w:color w:val="000000" w:themeColor="text1"/>
              </w:rPr>
              <w:t>Employee list, salaries, and payroll summary</w:t>
            </w:r>
          </w:p>
        </w:tc>
      </w:tr>
      <w:tr w:rsidR="00BC35CC" w14:paraId="2EC120EF"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A38E15F" w14:textId="77777777" w:rsidR="00BC35CC" w:rsidRDefault="00000000">
            <w:pPr>
              <w:spacing w:line="252" w:lineRule="auto"/>
              <w:rPr>
                <w:color w:val="000000" w:themeColor="text1"/>
              </w:rPr>
            </w:pPr>
            <w:r>
              <w:rPr>
                <w:b/>
                <w:bCs/>
                <w:color w:val="000000" w:themeColor="text1"/>
              </w:rPr>
              <w:t>staff_master.csv / Payroll_Registers/</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32ADF30" w14:textId="77777777" w:rsidR="00BC35CC" w:rsidRDefault="00000000">
            <w:pPr>
              <w:spacing w:line="252" w:lineRule="auto"/>
              <w:rPr>
                <w:color w:val="000000" w:themeColor="text1"/>
              </w:rPr>
            </w:pPr>
            <w:r>
              <w:rPr>
                <w:color w:val="000000" w:themeColor="text1"/>
              </w:rPr>
              <w:t>Accounting staff roles (used for the JV Entered_By/Approved_By sign-off review) and the monthly payroll registers behind the summary</w:t>
            </w:r>
          </w:p>
        </w:tc>
      </w:tr>
      <w:tr w:rsidR="00381916" w:rsidRPr="00C560E7" w14:paraId="60D8FD79"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2194B43" w14:textId="77777777" w:rsidR="00381916" w:rsidRPr="00C560E7" w:rsidRDefault="00000000">
            <w:pPr>
              <w:spacing w:line="252" w:lineRule="auto"/>
              <w:rPr>
                <w:color w:val="000000" w:themeColor="text1"/>
              </w:rPr>
            </w:pPr>
            <w:r>
              <w:rPr>
                <w:b/>
                <w:bCs/>
                <w:color w:val="000000" w:themeColor="text1"/>
              </w:rPr>
              <w:t>asset_register.csv / fixed_asset_register.pdf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F692C65" w14:textId="77777777" w:rsidR="00381916" w:rsidRPr="00C560E7" w:rsidRDefault="00000000">
            <w:pPr>
              <w:spacing w:line="252" w:lineRule="auto"/>
              <w:rPr>
                <w:color w:val="000000" w:themeColor="text1"/>
              </w:rPr>
            </w:pPr>
            <w:r>
              <w:rPr>
                <w:color w:val="000000" w:themeColor="text1"/>
              </w:rPr>
              <w:t>Fixed assets with acquisition dates, costs, depreciation schedules, and status information</w:t>
            </w:r>
          </w:p>
        </w:tc>
      </w:tr>
      <w:tr w:rsidR="00381916" w:rsidRPr="00C560E7" w14:paraId="4E5903B7"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F81028A" w14:textId="77777777" w:rsidR="00381916" w:rsidRPr="00C560E7" w:rsidRDefault="00000000">
            <w:pPr>
              <w:spacing w:line="252" w:lineRule="auto"/>
              <w:rPr>
                <w:color w:val="000000" w:themeColor="text1"/>
              </w:rPr>
            </w:pPr>
            <w:r>
              <w:rPr>
                <w:b/>
                <w:bCs/>
                <w:color w:val="000000" w:themeColor="text1"/>
              </w:rPr>
              <w:t>asset_rollforward_YYYY.xlsx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34B6471" w14:textId="77777777" w:rsidR="00381916" w:rsidRPr="00C560E7" w:rsidRDefault="00000000">
            <w:pPr>
              <w:spacing w:line="252" w:lineRule="auto"/>
              <w:rPr>
                <w:color w:val="000000" w:themeColor="text1"/>
              </w:rPr>
            </w:pPr>
            <w:r>
              <w:rPr>
                <w:color w:val="000000" w:themeColor="text1"/>
              </w:rPr>
              <w:t>Fixed-asset rollforward showing beginning balance, additions, disposals, depreciation, and ending balance</w:t>
            </w:r>
          </w:p>
        </w:tc>
      </w:tr>
      <w:tr w:rsidR="00381916" w:rsidRPr="00C560E7" w14:paraId="283FA7ED"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7F053F4" w14:textId="77777777" w:rsidR="00381916" w:rsidRPr="00C560E7" w:rsidRDefault="00000000">
            <w:pPr>
              <w:spacing w:line="252" w:lineRule="auto"/>
              <w:rPr>
                <w:color w:val="000000" w:themeColor="text1"/>
              </w:rPr>
            </w:pPr>
            <w:r>
              <w:rPr>
                <w:b/>
                <w:bCs/>
                <w:color w:val="000000" w:themeColor="text1"/>
              </w:rPr>
              <w:t>Asset_Disposals/</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9D194A0" w14:textId="77777777" w:rsidR="00381916" w:rsidRPr="00C560E7" w:rsidRDefault="00000000">
            <w:pPr>
              <w:spacing w:line="252" w:lineRule="auto"/>
              <w:rPr>
                <w:color w:val="000000" w:themeColor="text1"/>
              </w:rPr>
            </w:pPr>
            <w:r>
              <w:rPr>
                <w:color w:val="000000" w:themeColor="text1"/>
              </w:rPr>
              <w:t>Fixed-asset disposal and retirement authorizations</w:t>
            </w:r>
          </w:p>
        </w:tc>
      </w:tr>
      <w:tr w:rsidR="00381916" w:rsidRPr="00C560E7" w14:paraId="6137E69D"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D19F4DB" w14:textId="77777777" w:rsidR="00381916" w:rsidRPr="00C560E7" w:rsidRDefault="00000000">
            <w:pPr>
              <w:spacing w:line="252" w:lineRule="auto"/>
              <w:rPr>
                <w:color w:val="000000" w:themeColor="text1"/>
              </w:rPr>
            </w:pPr>
            <w:r>
              <w:rPr>
                <w:b/>
                <w:bCs/>
                <w:color w:val="000000" w:themeColor="text1"/>
              </w:rPr>
              <w:t>customer_master.csv / ar_aging.xlsx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7D35384" w14:textId="77777777" w:rsidR="00381916" w:rsidRPr="00C560E7" w:rsidRDefault="00000000">
            <w:pPr>
              <w:spacing w:line="252" w:lineRule="auto"/>
              <w:rPr>
                <w:color w:val="000000" w:themeColor="text1"/>
              </w:rPr>
            </w:pPr>
            <w:r>
              <w:rPr>
                <w:color w:val="000000" w:themeColor="text1"/>
              </w:rPr>
              <w:t>Customer data and accounts receivable aging; use aging detail to evaluate the recorded allowance for doubtful accounts</w:t>
            </w:r>
          </w:p>
        </w:tc>
      </w:tr>
      <w:tr w:rsidR="00381916" w:rsidRPr="00C560E7" w14:paraId="75187043"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3896F1F2" w14:textId="77777777" w:rsidR="00381916" w:rsidRPr="00C560E7" w:rsidRDefault="00000000">
            <w:pPr>
              <w:spacing w:line="252" w:lineRule="auto"/>
              <w:rPr>
                <w:color w:val="000000" w:themeColor="text1"/>
              </w:rPr>
            </w:pPr>
            <w:r>
              <w:rPr>
                <w:b/>
                <w:bCs/>
                <w:color w:val="000000" w:themeColor="text1"/>
              </w:rPr>
              <w:t>inventory_listing.xlsx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1CCB3BF" w14:textId="77777777" w:rsidR="00381916" w:rsidRPr="00C560E7" w:rsidRDefault="00000000">
            <w:pPr>
              <w:spacing w:line="252" w:lineRule="auto"/>
              <w:rPr>
                <w:color w:val="000000" w:themeColor="text1"/>
              </w:rPr>
            </w:pPr>
            <w:r>
              <w:rPr>
                <w:color w:val="000000" w:themeColor="text1"/>
              </w:rPr>
              <w:t>Inventory items with quantities, unit costs, and totals</w:t>
            </w:r>
          </w:p>
        </w:tc>
      </w:tr>
      <w:tr w:rsidR="00381916" w:rsidRPr="00C560E7" w14:paraId="6D273169"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597BE4A" w14:textId="77777777" w:rsidR="00381916" w:rsidRPr="00C560E7" w:rsidRDefault="00000000">
            <w:pPr>
              <w:spacing w:line="252" w:lineRule="auto"/>
              <w:rPr>
                <w:color w:val="000000" w:themeColor="text1"/>
              </w:rPr>
            </w:pPr>
            <w:r>
              <w:rPr>
                <w:b/>
                <w:bCs/>
                <w:color w:val="000000" w:themeColor="text1"/>
              </w:rPr>
              <w:t>inventory_count_sheet_YYYY.xlsx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96BF1C6" w14:textId="77777777" w:rsidR="00381916" w:rsidRPr="00C560E7" w:rsidRDefault="00000000">
            <w:pPr>
              <w:spacing w:line="252" w:lineRule="auto"/>
              <w:rPr>
                <w:color w:val="000000" w:themeColor="text1"/>
              </w:rPr>
            </w:pPr>
            <w:r>
              <w:rPr>
                <w:color w:val="000000" w:themeColor="text1"/>
              </w:rPr>
              <w:t>Physical inventory count sheet; the variance columns are blank student inputs with live totals — complete them to compute book-to-count differences and their value</w:t>
            </w:r>
          </w:p>
        </w:tc>
      </w:tr>
      <w:tr w:rsidR="00BC35CC" w14:paraId="77E8843F"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39F8C59" w14:textId="77777777" w:rsidR="00BC35CC" w:rsidRDefault="00000000">
            <w:pPr>
              <w:spacing w:line="252" w:lineRule="auto"/>
              <w:rPr>
                <w:color w:val="000000" w:themeColor="text1"/>
              </w:rPr>
            </w:pPr>
            <w:r>
              <w:rPr>
                <w:b/>
                <w:bCs/>
                <w:color w:val="000000" w:themeColor="text1"/>
              </w:rPr>
              <w:t>inventory_rollforward_YYYY.xlsx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AD7E7E7" w14:textId="77777777" w:rsidR="00BC35CC" w:rsidRDefault="00000000">
            <w:pPr>
              <w:spacing w:line="252" w:lineRule="auto"/>
              <w:rPr>
                <w:color w:val="000000" w:themeColor="text1"/>
              </w:rPr>
            </w:pPr>
            <w:r>
              <w:rPr>
                <w:color w:val="000000" w:themeColor="text1"/>
              </w:rPr>
              <w:t>Formula-linked inventory rollforward supporting the inventory balance</w:t>
            </w:r>
          </w:p>
        </w:tc>
      </w:tr>
      <w:tr w:rsidR="00381916" w:rsidRPr="00C560E7" w14:paraId="579477AD"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E26647E" w14:textId="77777777" w:rsidR="00381916" w:rsidRPr="00C560E7" w:rsidRDefault="00000000">
            <w:pPr>
              <w:spacing w:line="252" w:lineRule="auto"/>
              <w:rPr>
                <w:color w:val="000000" w:themeColor="text1"/>
              </w:rPr>
            </w:pPr>
            <w:r>
              <w:rPr>
                <w:b/>
                <w:bCs/>
                <w:color w:val="000000" w:themeColor="text1"/>
              </w:rPr>
              <w:t>bank_reconciliation.pdf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1E9F624" w14:textId="77777777" w:rsidR="00381916" w:rsidRPr="00C560E7" w:rsidRDefault="00000000">
            <w:pPr>
              <w:spacing w:line="252" w:lineRule="auto"/>
              <w:rPr>
                <w:color w:val="000000" w:themeColor="text1"/>
              </w:rPr>
            </w:pPr>
            <w:r>
              <w:rPr>
                <w:color w:val="000000" w:themeColor="text1"/>
              </w:rPr>
              <w:t>Bank statement reconciled to the GL cash balance</w:t>
            </w:r>
          </w:p>
        </w:tc>
      </w:tr>
      <w:tr w:rsidR="00381916" w:rsidRPr="00C560E7" w14:paraId="19352F6B"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5C01551" w14:textId="77777777" w:rsidR="00381916" w:rsidRPr="00C560E7" w:rsidRDefault="00000000">
            <w:pPr>
              <w:spacing w:line="252" w:lineRule="auto"/>
              <w:rPr>
                <w:color w:val="000000" w:themeColor="text1"/>
              </w:rPr>
            </w:pPr>
            <w:r>
              <w:rPr>
                <w:b/>
                <w:bCs/>
                <w:color w:val="000000" w:themeColor="text1"/>
              </w:rPr>
              <w:t>bank_confirmation.pdf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4FEACB9" w14:textId="77777777" w:rsidR="00381916" w:rsidRPr="00C560E7" w:rsidRDefault="00000000">
            <w:pPr>
              <w:spacing w:line="252" w:lineRule="auto"/>
              <w:rPr>
                <w:color w:val="000000" w:themeColor="text1"/>
              </w:rPr>
            </w:pPr>
            <w:r>
              <w:rPr>
                <w:color w:val="000000" w:themeColor="text1"/>
              </w:rPr>
              <w:t>External bank confirmation supporting cash testing</w:t>
            </w:r>
          </w:p>
        </w:tc>
      </w:tr>
      <w:tr w:rsidR="00381916" w:rsidRPr="00C560E7" w14:paraId="4FA33E6E"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868D92A" w14:textId="77777777" w:rsidR="00381916" w:rsidRPr="00C560E7" w:rsidRDefault="00000000">
            <w:pPr>
              <w:spacing w:line="252" w:lineRule="auto"/>
              <w:rPr>
                <w:color w:val="000000" w:themeColor="text1"/>
              </w:rPr>
            </w:pPr>
            <w:r>
              <w:rPr>
                <w:b/>
                <w:bCs/>
                <w:color w:val="000000" w:themeColor="text1"/>
              </w:rPr>
              <w:lastRenderedPageBreak/>
              <w:t>debt_schedule.xlsx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95FEA10" w14:textId="77777777" w:rsidR="00381916" w:rsidRPr="00C560E7" w:rsidRDefault="00000000">
            <w:pPr>
              <w:spacing w:line="252" w:lineRule="auto"/>
              <w:rPr>
                <w:color w:val="000000" w:themeColor="text1"/>
              </w:rPr>
            </w:pPr>
            <w:r>
              <w:rPr>
                <w:color w:val="000000" w:themeColor="text1"/>
              </w:rPr>
              <w:t>Loan balances, interest rates, and amortization</w:t>
            </w:r>
          </w:p>
        </w:tc>
      </w:tr>
      <w:tr w:rsidR="00381916" w:rsidRPr="00C560E7" w14:paraId="527B8324"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49EDAE7" w14:textId="77777777" w:rsidR="00381916" w:rsidRPr="00C560E7" w:rsidRDefault="00000000">
            <w:pPr>
              <w:spacing w:line="252" w:lineRule="auto"/>
              <w:rPr>
                <w:color w:val="000000" w:themeColor="text1"/>
              </w:rPr>
            </w:pPr>
            <w:r>
              <w:rPr>
                <w:b/>
                <w:bCs/>
                <w:color w:val="000000" w:themeColor="text1"/>
              </w:rPr>
              <w:t>lender_confirmation.pdf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D409AB3" w14:textId="77777777" w:rsidR="00381916" w:rsidRPr="00C560E7" w:rsidRDefault="00000000">
            <w:pPr>
              <w:spacing w:line="252" w:lineRule="auto"/>
              <w:rPr>
                <w:color w:val="000000" w:themeColor="text1"/>
              </w:rPr>
            </w:pPr>
            <w:r>
              <w:rPr>
                <w:color w:val="000000" w:themeColor="text1"/>
              </w:rPr>
              <w:t>External lender confirmation supporting principal balance, interest rate, interest charged, and repayments</w:t>
            </w:r>
          </w:p>
        </w:tc>
      </w:tr>
      <w:tr w:rsidR="00381916" w:rsidRPr="00C560E7" w14:paraId="1B62DAEA"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762EC2B" w14:textId="77777777" w:rsidR="00381916" w:rsidRPr="00C560E7" w:rsidRDefault="00000000">
            <w:pPr>
              <w:spacing w:line="252" w:lineRule="auto"/>
              <w:rPr>
                <w:color w:val="000000" w:themeColor="text1"/>
              </w:rPr>
            </w:pPr>
            <w:r>
              <w:rPr>
                <w:b/>
                <w:bCs/>
                <w:color w:val="000000" w:themeColor="text1"/>
              </w:rPr>
              <w:t>Tieout_Workbook_YYYY.xlsx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90B23A2" w14:textId="77777777" w:rsidR="00381916" w:rsidRPr="00C560E7" w:rsidRDefault="00000000">
            <w:pPr>
              <w:spacing w:line="252" w:lineRule="auto"/>
              <w:rPr>
                <w:color w:val="000000" w:themeColor="text1"/>
              </w:rPr>
            </w:pPr>
            <w:r>
              <w:rPr>
                <w:color w:val="000000" w:themeColor="text1"/>
              </w:rPr>
              <w:t>Formula-linked workbook (16 tabs): Trial_Balance, Income_Statement, Balance_Sheet, Materiality, and Tie_Out_Checks, plus JV_Listing, Opening_Balances, AR_Aging, Inventory, Debt_Schedule, Bank_Reconciliation, Prior_Year, Analytical_Review, Payroll_Reconciliation, Headcount_Rollforward, and Account_Map</w:t>
            </w:r>
          </w:p>
        </w:tc>
      </w:tr>
      <w:tr w:rsidR="00BC35CC" w14:paraId="385232C7"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3A750D6A" w14:textId="77777777" w:rsidR="00BC35CC" w:rsidRDefault="00000000">
            <w:pPr>
              <w:spacing w:line="252" w:lineRule="auto"/>
              <w:rPr>
                <w:color w:val="000000" w:themeColor="text1"/>
              </w:rPr>
            </w:pPr>
            <w:r>
              <w:rPr>
                <w:b/>
                <w:bCs/>
                <w:color w:val="000000" w:themeColor="text1"/>
              </w:rPr>
              <w:t>Mapper_JV_to_FS_YYYY.xlsx / Reconciliation_Checklist_YYYY.xlsx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37905D25" w14:textId="77777777" w:rsidR="00BC35CC" w:rsidRDefault="00000000">
            <w:pPr>
              <w:spacing w:line="252" w:lineRule="auto"/>
              <w:rPr>
                <w:color w:val="000000" w:themeColor="text1"/>
              </w:rPr>
            </w:pPr>
            <w:r>
              <w:rPr>
                <w:color w:val="000000" w:themeColor="text1"/>
              </w:rPr>
              <w:t>Formula-linked JV-to-financial-statement mapper, and a one-page checklist of the most important ties</w:t>
            </w:r>
          </w:p>
        </w:tc>
      </w:tr>
      <w:tr w:rsidR="00BC35CC" w14:paraId="6F2B2F2B"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472CA12" w14:textId="77777777" w:rsidR="00BC35CC" w:rsidRDefault="00000000">
            <w:pPr>
              <w:spacing w:line="252" w:lineRule="auto"/>
              <w:rPr>
                <w:color w:val="000000" w:themeColor="text1"/>
              </w:rPr>
            </w:pPr>
            <w:r>
              <w:rPr>
                <w:b/>
                <w:bCs/>
                <w:color w:val="000000" w:themeColor="text1"/>
              </w:rPr>
              <w:t>TIE_OUT_REPORT_YYYY.txt / TIE_OUT_PER_JE_YYYY.csv</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2BEDCD9" w14:textId="77777777" w:rsidR="00BC35CC" w:rsidRDefault="00000000">
            <w:pPr>
              <w:spacing w:line="252" w:lineRule="auto"/>
              <w:rPr>
                <w:color w:val="000000" w:themeColor="text1"/>
              </w:rPr>
            </w:pPr>
            <w:r>
              <w:rPr>
                <w:color w:val="000000" w:themeColor="text1"/>
              </w:rPr>
              <w:t>Tie-out report confirming the records internally tie, with per-JE detail</w:t>
            </w:r>
          </w:p>
        </w:tc>
      </w:tr>
      <w:tr w:rsidR="00381916" w:rsidRPr="00C560E7" w14:paraId="392B8ED8"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6BD899E" w14:textId="77777777" w:rsidR="00381916" w:rsidRPr="00C560E7" w:rsidRDefault="00000000">
            <w:pPr>
              <w:spacing w:line="252" w:lineRule="auto"/>
              <w:rPr>
                <w:color w:val="000000" w:themeColor="text1"/>
              </w:rPr>
            </w:pPr>
            <w:r>
              <w:rPr>
                <w:b/>
                <w:bCs/>
                <w:color w:val="000000" w:themeColor="text1"/>
              </w:rPr>
              <w:t>14_Audit_Workpapers / Audit_Workpapers_YYYY.xlsx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055730E" w14:textId="77777777" w:rsidR="00381916" w:rsidRPr="00C560E7" w:rsidRDefault="00000000">
            <w:pPr>
              <w:spacing w:line="252" w:lineRule="auto"/>
              <w:rPr>
                <w:color w:val="000000" w:themeColor="text1"/>
              </w:rPr>
            </w:pPr>
            <w:r>
              <w:rPr>
                <w:color w:val="000000" w:themeColor="text1"/>
              </w:rPr>
              <w:t>Per-cycle workpaper templates (Index plus one tab per cycle) with objective, assertions, population, sample, evidence, exceptions, net exception to AJE, and conclusion fields</w:t>
            </w:r>
          </w:p>
        </w:tc>
      </w:tr>
      <w:tr w:rsidR="00381916" w:rsidRPr="00C560E7" w14:paraId="0F37E0A4"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713B521" w14:textId="77777777" w:rsidR="00381916" w:rsidRPr="00C560E7" w:rsidRDefault="00000000">
            <w:pPr>
              <w:spacing w:line="252" w:lineRule="auto"/>
              <w:rPr>
                <w:color w:val="000000" w:themeColor="text1"/>
              </w:rPr>
            </w:pPr>
            <w:r>
              <w:rPr>
                <w:b/>
                <w:bCs/>
                <w:color w:val="000000" w:themeColor="text1"/>
              </w:rPr>
              <w:t>14_Audit_Workpapers / Sampling_Plan_YYYY.xlsx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A18A9D4" w14:textId="77777777" w:rsidR="00381916" w:rsidRPr="00C560E7" w:rsidRDefault="00000000">
            <w:pPr>
              <w:spacing w:line="252" w:lineRule="auto"/>
              <w:rPr>
                <w:color w:val="000000" w:themeColor="text1"/>
              </w:rPr>
            </w:pPr>
            <w:r>
              <w:rPr>
                <w:color w:val="000000" w:themeColor="text1"/>
              </w:rPr>
              <w:t>Sampling plan: population, sampling unit, method, sample size, selected items, and live dollar-coverage formulas, with one selection-detail tab per area</w:t>
            </w:r>
          </w:p>
        </w:tc>
      </w:tr>
      <w:tr w:rsidR="00381916" w:rsidRPr="00C560E7" w14:paraId="48AE27A7"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DB1B703" w14:textId="77777777" w:rsidR="00381916" w:rsidRPr="00C560E7" w:rsidRDefault="00000000">
            <w:pPr>
              <w:spacing w:line="252" w:lineRule="auto"/>
              <w:rPr>
                <w:color w:val="000000" w:themeColor="text1"/>
              </w:rPr>
            </w:pPr>
            <w:r>
              <w:rPr>
                <w:b/>
                <w:bCs/>
                <w:color w:val="000000" w:themeColor="text1"/>
              </w:rPr>
              <w:t>14_Audit_Workpapers / Proposed_Adjusting_Entries_YYYY.xlsx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5C6DA36" w14:textId="77777777" w:rsidR="00381916" w:rsidRPr="00C560E7" w:rsidRDefault="00000000">
            <w:pPr>
              <w:spacing w:line="252" w:lineRule="auto"/>
              <w:rPr>
                <w:color w:val="000000" w:themeColor="text1"/>
              </w:rPr>
            </w:pPr>
            <w:r>
              <w:rPr>
                <w:color w:val="000000" w:themeColor="text1"/>
              </w:rPr>
              <w:t>Proposed adjusting-entry register (with a per-entry balance check) and a Summary_of_Misstatements tab that rolls up by FSLI and compares the total to performance and overall materiality</w:t>
            </w:r>
          </w:p>
        </w:tc>
      </w:tr>
      <w:tr w:rsidR="00381916" w:rsidRPr="00C560E7" w14:paraId="3B67E03E"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C3409EF" w14:textId="77777777" w:rsidR="00381916" w:rsidRPr="00C560E7" w:rsidRDefault="00000000">
            <w:pPr>
              <w:spacing w:line="252" w:lineRule="auto"/>
              <w:rPr>
                <w:color w:val="000000" w:themeColor="text1"/>
              </w:rPr>
            </w:pPr>
            <w:r>
              <w:rPr>
                <w:b/>
                <w:bCs/>
                <w:color w:val="000000" w:themeColor="text1"/>
              </w:rPr>
              <w:t>13_Internal_Controls / Control_Deficiency_Log_YYYY.xlsx</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36DEE9D" w14:textId="77777777" w:rsidR="00381916" w:rsidRPr="00C560E7" w:rsidRDefault="00000000">
            <w:pPr>
              <w:spacing w:line="252" w:lineRule="auto"/>
              <w:rPr>
                <w:color w:val="000000" w:themeColor="text1"/>
              </w:rPr>
            </w:pPr>
            <w:r>
              <w:rPr>
                <w:color w:val="000000" w:themeColor="text1"/>
              </w:rPr>
              <w:t>Log to classify exceptions as misstatement, control deficiency, both, or disclosure, with a severity roll-up by deficiency / significant deficiency / material weakness</w:t>
            </w:r>
          </w:p>
        </w:tc>
      </w:tr>
      <w:tr w:rsidR="00381916" w:rsidRPr="00C560E7" w14:paraId="55F69752"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B1270E2" w14:textId="77777777" w:rsidR="00381916" w:rsidRPr="00C560E7" w:rsidRDefault="00000000">
            <w:pPr>
              <w:spacing w:line="252" w:lineRule="auto"/>
              <w:rPr>
                <w:color w:val="000000" w:themeColor="text1"/>
              </w:rPr>
            </w:pPr>
            <w:r>
              <w:rPr>
                <w:b/>
                <w:bCs/>
                <w:color w:val="000000" w:themeColor="text1"/>
              </w:rPr>
              <w:t>vendor_master.csv</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D815715" w14:textId="77777777" w:rsidR="00381916" w:rsidRPr="00C560E7" w:rsidRDefault="00000000">
            <w:pPr>
              <w:spacing w:line="252" w:lineRule="auto"/>
              <w:rPr>
                <w:color w:val="000000" w:themeColor="text1"/>
              </w:rPr>
            </w:pPr>
            <w:r>
              <w:rPr>
                <w:color w:val="000000" w:themeColor="text1"/>
              </w:rPr>
              <w:t>Vendor contact details and payment terms; review for related-party vendor information</w:t>
            </w:r>
          </w:p>
        </w:tc>
      </w:tr>
      <w:tr w:rsidR="00BC35CC" w14:paraId="130ED781"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01804B2" w14:textId="77777777" w:rsidR="00BC35CC" w:rsidRDefault="00000000">
            <w:pPr>
              <w:spacing w:line="252" w:lineRule="auto"/>
              <w:rPr>
                <w:color w:val="000000" w:themeColor="text1"/>
              </w:rPr>
            </w:pPr>
            <w:r>
              <w:rPr>
                <w:b/>
                <w:bCs/>
                <w:color w:val="000000" w:themeColor="text1"/>
              </w:rPr>
              <w:t>ap_aging_YYYY.xlsx / Receiving_Reports/</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4790DAF" w14:textId="77777777" w:rsidR="00BC35CC" w:rsidRDefault="00000000">
            <w:pPr>
              <w:spacing w:line="252" w:lineRule="auto"/>
              <w:rPr>
                <w:color w:val="000000" w:themeColor="text1"/>
              </w:rPr>
            </w:pPr>
            <w:r>
              <w:rPr>
                <w:color w:val="000000" w:themeColor="text1"/>
              </w:rPr>
              <w:t>Accounts payable aging by open vendor invoice (ties to accounts payable, 2000), and goods-received notes (GRNs) supporting purchases cutoff</w:t>
            </w:r>
          </w:p>
        </w:tc>
      </w:tr>
      <w:tr w:rsidR="00381916" w:rsidRPr="00C560E7" w14:paraId="20A667AF"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3B6E3D0A" w14:textId="77777777" w:rsidR="00381916" w:rsidRPr="00C560E7" w:rsidRDefault="00000000">
            <w:pPr>
              <w:spacing w:line="252" w:lineRule="auto"/>
              <w:rPr>
                <w:color w:val="000000" w:themeColor="text1"/>
              </w:rPr>
            </w:pPr>
            <w:r>
              <w:rPr>
                <w:b/>
                <w:bCs/>
                <w:color w:val="000000" w:themeColor="text1"/>
              </w:rPr>
              <w:t>related_party_note.pdf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F2885EC" w14:textId="77777777" w:rsidR="00381916" w:rsidRPr="00C560E7" w:rsidRDefault="00000000">
            <w:pPr>
              <w:spacing w:line="252" w:lineRule="auto"/>
              <w:rPr>
                <w:color w:val="000000" w:themeColor="text1"/>
              </w:rPr>
            </w:pPr>
            <w:r>
              <w:rPr>
                <w:color w:val="000000" w:themeColor="text1"/>
              </w:rPr>
              <w:t>Related-party disclosure for vendor transactions</w:t>
            </w:r>
          </w:p>
        </w:tc>
      </w:tr>
      <w:tr w:rsidR="00BC35CC" w14:paraId="616C3574"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AE459DA" w14:textId="77777777" w:rsidR="00BC35CC" w:rsidRDefault="00000000">
            <w:pPr>
              <w:spacing w:line="252" w:lineRule="auto"/>
              <w:rPr>
                <w:color w:val="000000" w:themeColor="text1"/>
              </w:rPr>
            </w:pPr>
            <w:r>
              <w:rPr>
                <w:b/>
                <w:bCs/>
                <w:color w:val="000000" w:themeColor="text1"/>
              </w:rPr>
              <w:t>11_Confirmations / AR_Confirmations/ and attorney_legal_letter_YYYY.pdf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557B94B" w14:textId="77777777" w:rsidR="00BC35CC" w:rsidRDefault="00000000">
            <w:pPr>
              <w:spacing w:line="252" w:lineRule="auto"/>
              <w:rPr>
                <w:color w:val="000000" w:themeColor="text1"/>
              </w:rPr>
            </w:pPr>
            <w:r>
              <w:rPr>
                <w:color w:val="000000" w:themeColor="text1"/>
              </w:rPr>
              <w:t>Customer confirmation replies supporting receivables testing, and the attorney letter supporting the litigation reserve</w:t>
            </w:r>
          </w:p>
        </w:tc>
      </w:tr>
      <w:tr w:rsidR="00BC35CC" w14:paraId="32D74ACC"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F4BA0B9" w14:textId="77777777" w:rsidR="00BC35CC" w:rsidRDefault="00000000">
            <w:pPr>
              <w:spacing w:line="252" w:lineRule="auto"/>
              <w:rPr>
                <w:color w:val="000000" w:themeColor="text1"/>
              </w:rPr>
            </w:pPr>
            <w:r>
              <w:rPr>
                <w:b/>
                <w:bCs/>
                <w:color w:val="000000" w:themeColor="text1"/>
              </w:rPr>
              <w:t>allowance_calculation_memo_YYYY.pdf / warranty_claims_history_YYYY.pdf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63619D2A" w14:textId="77777777" w:rsidR="00BC35CC" w:rsidRDefault="00000000">
            <w:pPr>
              <w:spacing w:line="252" w:lineRule="auto"/>
              <w:rPr>
                <w:color w:val="000000" w:themeColor="text1"/>
              </w:rPr>
            </w:pPr>
            <w:r>
              <w:rPr>
                <w:color w:val="000000" w:themeColor="text1"/>
              </w:rPr>
              <w:t>Client memos supporting the allowance-for-doubtful-accounts methodology and the warranty reserve</w:t>
            </w:r>
          </w:p>
        </w:tc>
      </w:tr>
      <w:tr w:rsidR="00BC35CC" w14:paraId="0A2BA7C0"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85D353A" w14:textId="77777777" w:rsidR="00BC35CC" w:rsidRDefault="00000000">
            <w:pPr>
              <w:spacing w:line="252" w:lineRule="auto"/>
              <w:rPr>
                <w:color w:val="000000" w:themeColor="text1"/>
              </w:rPr>
            </w:pPr>
            <w:r>
              <w:rPr>
                <w:b/>
                <w:bCs/>
                <w:color w:val="000000" w:themeColor="text1"/>
              </w:rPr>
              <w:lastRenderedPageBreak/>
              <w:t>12_Subsequent_Events/</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ACF9FA0" w14:textId="77777777" w:rsidR="00BC35CC" w:rsidRDefault="00000000">
            <w:pPr>
              <w:spacing w:line="252" w:lineRule="auto"/>
              <w:rPr>
                <w:color w:val="000000" w:themeColor="text1"/>
              </w:rPr>
            </w:pPr>
            <w:r>
              <w:rPr>
                <w:color w:val="000000" w:themeColor="text1"/>
              </w:rPr>
              <w:t>January cash receipts and disbursements, January vendor invoices (Vendor_Invoices_January/), and board minutes for subsequent-events review</w:t>
            </w:r>
          </w:p>
        </w:tc>
      </w:tr>
      <w:tr w:rsidR="00381916" w:rsidRPr="00C560E7" w14:paraId="6999BDBC"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7CF3682" w14:textId="77777777" w:rsidR="00381916" w:rsidRPr="00C560E7" w:rsidRDefault="00000000">
            <w:pPr>
              <w:spacing w:line="252" w:lineRule="auto"/>
              <w:rPr>
                <w:color w:val="000000" w:themeColor="text1"/>
              </w:rPr>
            </w:pPr>
            <w:r>
              <w:rPr>
                <w:b/>
                <w:bCs/>
                <w:color w:val="000000" w:themeColor="text1"/>
              </w:rPr>
              <w:t>management_representations.pdf / prior_year_financials.pdf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36AF72F" w14:textId="77777777" w:rsidR="00381916" w:rsidRPr="00C560E7" w:rsidRDefault="00000000">
            <w:pPr>
              <w:spacing w:line="252" w:lineRule="auto"/>
              <w:rPr>
                <w:color w:val="000000" w:themeColor="text1"/>
              </w:rPr>
            </w:pPr>
            <w:r>
              <w:rPr>
                <w:color w:val="000000" w:themeColor="text1"/>
              </w:rPr>
              <w:t>Management representation letter and prior-year comparative statements (estimated, unaudited)</w:t>
            </w:r>
          </w:p>
        </w:tc>
      </w:tr>
      <w:tr w:rsidR="00381916" w:rsidRPr="00C560E7" w14:paraId="3FE545C3"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4A10B248" w14:textId="77777777" w:rsidR="00381916" w:rsidRPr="00C560E7" w:rsidRDefault="00000000">
            <w:pPr>
              <w:spacing w:line="252" w:lineRule="auto"/>
              <w:rPr>
                <w:color w:val="000000" w:themeColor="text1"/>
              </w:rPr>
            </w:pPr>
            <w:r>
              <w:rPr>
                <w:b/>
                <w:bCs/>
                <w:color w:val="000000" w:themeColor="text1"/>
              </w:rPr>
              <w:t>leaver_joiner_listing_YYYY.csv / Leaver_Joiner_Workpaper_YYYY.pdf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7D945DF4" w14:textId="77777777" w:rsidR="00381916" w:rsidRPr="00C560E7" w:rsidRDefault="00000000">
            <w:pPr>
              <w:spacing w:line="252" w:lineRule="auto"/>
              <w:rPr>
                <w:color w:val="000000" w:themeColor="text1"/>
              </w:rPr>
            </w:pPr>
            <w:r>
              <w:rPr>
                <w:color w:val="000000" w:themeColor="text1"/>
              </w:rPr>
              <w:t>New hires and departures during the year, with resignation letters (Resignation_Letters/) and employment contracts (Employment_Contracts/) on file</w:t>
            </w:r>
          </w:p>
        </w:tc>
      </w:tr>
      <w:tr w:rsidR="00381916" w:rsidRPr="00C560E7" w14:paraId="6B43305E"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59B227E0" w14:textId="77777777" w:rsidR="00381916" w:rsidRPr="00C560E7" w:rsidRDefault="00000000">
            <w:pPr>
              <w:spacing w:line="252" w:lineRule="auto"/>
              <w:rPr>
                <w:color w:val="000000" w:themeColor="text1"/>
              </w:rPr>
            </w:pPr>
            <w:r>
              <w:rPr>
                <w:b/>
                <w:bCs/>
                <w:color w:val="000000" w:themeColor="text1"/>
              </w:rPr>
              <w:t>Sales_Invoices/, AP_Vendor_Invoices/, Check_Copies/, Journal_Vouchers/, Asset_Purchase_Orders/, Bank_Statement_YYYY.pdf</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22B094A5" w14:textId="77777777" w:rsidR="00381916" w:rsidRPr="00C560E7" w:rsidRDefault="00000000">
            <w:pPr>
              <w:spacing w:line="252" w:lineRule="auto"/>
              <w:rPr>
                <w:color w:val="000000" w:themeColor="text1"/>
              </w:rPr>
            </w:pPr>
            <w:r>
              <w:rPr>
                <w:color w:val="000000" w:themeColor="text1"/>
              </w:rPr>
              <w:t>Source documents supporting the journal entries: customer invoices, vendor invoices, check copies, journal vouchers, asset purchase orders, and the bank statement</w:t>
            </w:r>
          </w:p>
        </w:tc>
      </w:tr>
      <w:tr w:rsidR="00381916" w:rsidRPr="00C560E7" w14:paraId="7E1D67D9" w14:textId="77777777">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0BA3695B" w14:textId="77777777" w:rsidR="00381916" w:rsidRPr="00C560E7" w:rsidRDefault="00000000">
            <w:pPr>
              <w:spacing w:line="252" w:lineRule="auto"/>
              <w:rPr>
                <w:color w:val="000000" w:themeColor="text1"/>
              </w:rPr>
            </w:pPr>
            <w:r>
              <w:rPr>
                <w:b/>
                <w:bCs/>
                <w:color w:val="000000" w:themeColor="text1"/>
              </w:rPr>
              <w:t>Shipping_Documents/</w:t>
            </w:r>
          </w:p>
        </w:tc>
        <w:tc>
          <w:tcPr>
            <w:tcW w:w="2500" w:type="pct"/>
            <w:tcBorders>
              <w:top w:val="single" w:sz="4" w:space="0" w:color="BBBBBB"/>
              <w:left w:val="single" w:sz="4" w:space="0" w:color="BBBBBB"/>
              <w:bottom w:val="single" w:sz="4" w:space="0" w:color="BBBBBB"/>
              <w:right w:val="single" w:sz="4" w:space="0" w:color="BBBBBB"/>
            </w:tcBorders>
            <w:tcMar>
              <w:top w:w="60" w:type="dxa"/>
              <w:left w:w="90" w:type="dxa"/>
              <w:bottom w:w="60" w:type="dxa"/>
              <w:right w:w="90" w:type="dxa"/>
            </w:tcMar>
          </w:tcPr>
          <w:p w14:paraId="170D8E6B" w14:textId="77777777" w:rsidR="00381916" w:rsidRPr="00C560E7" w:rsidRDefault="00000000">
            <w:pPr>
              <w:spacing w:line="252" w:lineRule="auto"/>
              <w:rPr>
                <w:color w:val="000000" w:themeColor="text1"/>
              </w:rPr>
            </w:pPr>
            <w:r>
              <w:rPr>
                <w:color w:val="000000" w:themeColor="text1"/>
              </w:rPr>
              <w:t>Bills of lading / delivery notes supporting revenue cutoff testing</w:t>
            </w:r>
          </w:p>
        </w:tc>
      </w:tr>
    </w:tbl>
    <w:p w14:paraId="4925ECE3" w14:textId="77777777" w:rsidR="00381916" w:rsidRPr="00C560E7" w:rsidRDefault="00381916" w:rsidP="00CE7B58">
      <w:pPr>
        <w:spacing w:before="200"/>
        <w:jc w:val="center"/>
        <w:rPr>
          <w:color w:val="000000" w:themeColor="text1"/>
        </w:rPr>
      </w:pPr>
    </w:p>
    <w:sectPr w:rsidR="00381916" w:rsidRPr="00C560E7">
      <w:footerReference w:type="default" r:id="rId7"/>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C66FB" w14:textId="77777777" w:rsidR="00A20B78" w:rsidRDefault="00A20B78" w:rsidP="00B33E30">
      <w:r>
        <w:separator/>
      </w:r>
    </w:p>
  </w:endnote>
  <w:endnote w:type="continuationSeparator" w:id="0">
    <w:p w14:paraId="3B1F0AFA" w14:textId="77777777" w:rsidR="00A20B78" w:rsidRDefault="00A20B78" w:rsidP="00B3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191798"/>
      <w:docPartObj>
        <w:docPartGallery w:val="Page Numbers (Bottom of Page)"/>
        <w:docPartUnique/>
      </w:docPartObj>
    </w:sdtPr>
    <w:sdtContent>
      <w:sdt>
        <w:sdtPr>
          <w:id w:val="-1769616900"/>
          <w:docPartObj>
            <w:docPartGallery w:val="Page Numbers (Top of Page)"/>
            <w:docPartUnique/>
          </w:docPartObj>
        </w:sdtPr>
        <w:sdtContent>
          <w:p w14:paraId="04E73BE7" w14:textId="77777777" w:rsidR="00B33E30" w:rsidRDefault="00B33E3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5F1CE42" w14:textId="77777777" w:rsidR="00B33E30" w:rsidRDefault="00B33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61FC0" w14:textId="77777777" w:rsidR="00A20B78" w:rsidRDefault="00A20B78" w:rsidP="00B33E30">
      <w:r>
        <w:separator/>
      </w:r>
    </w:p>
  </w:footnote>
  <w:footnote w:type="continuationSeparator" w:id="0">
    <w:p w14:paraId="63C0470A" w14:textId="77777777" w:rsidR="00A20B78" w:rsidRDefault="00A20B78" w:rsidP="00B33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30FBD"/>
    <w:multiLevelType w:val="hybridMultilevel"/>
    <w:tmpl w:val="1720ACCE"/>
    <w:lvl w:ilvl="0" w:tplc="D0BA2A12">
      <w:start w:val="1"/>
      <w:numFmt w:val="bullet"/>
      <w:lvlText w:val="●"/>
      <w:lvlJc w:val="left"/>
      <w:pPr>
        <w:ind w:left="720" w:hanging="360"/>
      </w:pPr>
    </w:lvl>
    <w:lvl w:ilvl="1" w:tplc="51966DB0">
      <w:start w:val="1"/>
      <w:numFmt w:val="bullet"/>
      <w:lvlText w:val="○"/>
      <w:lvlJc w:val="left"/>
      <w:pPr>
        <w:ind w:left="1440" w:hanging="360"/>
      </w:pPr>
    </w:lvl>
    <w:lvl w:ilvl="2" w:tplc="83609498">
      <w:start w:val="1"/>
      <w:numFmt w:val="bullet"/>
      <w:lvlText w:val="■"/>
      <w:lvlJc w:val="left"/>
      <w:pPr>
        <w:ind w:left="2160" w:hanging="360"/>
      </w:pPr>
    </w:lvl>
    <w:lvl w:ilvl="3" w:tplc="29446CDA">
      <w:start w:val="1"/>
      <w:numFmt w:val="bullet"/>
      <w:lvlText w:val="●"/>
      <w:lvlJc w:val="left"/>
      <w:pPr>
        <w:ind w:left="2880" w:hanging="360"/>
      </w:pPr>
    </w:lvl>
    <w:lvl w:ilvl="4" w:tplc="86E80A56">
      <w:start w:val="1"/>
      <w:numFmt w:val="bullet"/>
      <w:lvlText w:val="○"/>
      <w:lvlJc w:val="left"/>
      <w:pPr>
        <w:ind w:left="3600" w:hanging="360"/>
      </w:pPr>
    </w:lvl>
    <w:lvl w:ilvl="5" w:tplc="0A56BFAE">
      <w:start w:val="1"/>
      <w:numFmt w:val="bullet"/>
      <w:lvlText w:val="■"/>
      <w:lvlJc w:val="left"/>
      <w:pPr>
        <w:ind w:left="4320" w:hanging="360"/>
      </w:pPr>
    </w:lvl>
    <w:lvl w:ilvl="6" w:tplc="1400BB88">
      <w:start w:val="1"/>
      <w:numFmt w:val="bullet"/>
      <w:lvlText w:val="●"/>
      <w:lvlJc w:val="left"/>
      <w:pPr>
        <w:ind w:left="5040" w:hanging="360"/>
      </w:pPr>
    </w:lvl>
    <w:lvl w:ilvl="7" w:tplc="C82E1CEE">
      <w:start w:val="1"/>
      <w:numFmt w:val="bullet"/>
      <w:lvlText w:val="●"/>
      <w:lvlJc w:val="left"/>
      <w:pPr>
        <w:ind w:left="5760" w:hanging="360"/>
      </w:pPr>
    </w:lvl>
    <w:lvl w:ilvl="8" w:tplc="45A2D898">
      <w:start w:val="1"/>
      <w:numFmt w:val="bullet"/>
      <w:lvlText w:val="●"/>
      <w:lvlJc w:val="left"/>
      <w:pPr>
        <w:ind w:left="6480" w:hanging="360"/>
      </w:pPr>
    </w:lvl>
  </w:abstractNum>
  <w:num w:numId="1" w16cid:durableId="9744817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916"/>
    <w:rsid w:val="003323F1"/>
    <w:rsid w:val="00381916"/>
    <w:rsid w:val="003E2DE1"/>
    <w:rsid w:val="004E41BC"/>
    <w:rsid w:val="005F5F3A"/>
    <w:rsid w:val="006D5EE0"/>
    <w:rsid w:val="00A20B78"/>
    <w:rsid w:val="00B33E30"/>
    <w:rsid w:val="00BC35CC"/>
    <w:rsid w:val="00C560E7"/>
    <w:rsid w:val="00CE7B58"/>
    <w:rsid w:val="00D87E0E"/>
    <w:rsid w:val="00DC5EDA"/>
    <w:rsid w:val="00E21C97"/>
    <w:rsid w:val="00F901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A76B"/>
  <w15:docId w15:val="{909F29C5-969F-4811-B473-E5FABFECC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B33E30"/>
    <w:pPr>
      <w:tabs>
        <w:tab w:val="center" w:pos="4680"/>
        <w:tab w:val="right" w:pos="9360"/>
      </w:tabs>
    </w:pPr>
  </w:style>
  <w:style w:type="character" w:customStyle="1" w:styleId="HeaderChar">
    <w:name w:val="Header Char"/>
    <w:basedOn w:val="DefaultParagraphFont"/>
    <w:link w:val="Header"/>
    <w:uiPriority w:val="99"/>
    <w:rsid w:val="00B33E30"/>
  </w:style>
  <w:style w:type="paragraph" w:styleId="Footer">
    <w:name w:val="footer"/>
    <w:basedOn w:val="Normal"/>
    <w:link w:val="FooterChar"/>
    <w:uiPriority w:val="99"/>
    <w:unhideWhenUsed/>
    <w:rsid w:val="00B33E30"/>
    <w:pPr>
      <w:tabs>
        <w:tab w:val="center" w:pos="4680"/>
        <w:tab w:val="right" w:pos="9360"/>
      </w:tabs>
    </w:pPr>
  </w:style>
  <w:style w:type="character" w:customStyle="1" w:styleId="FooterChar">
    <w:name w:val="Footer Char"/>
    <w:basedOn w:val="DefaultParagraphFont"/>
    <w:link w:val="Footer"/>
    <w:uiPriority w:val="99"/>
    <w:rsid w:val="00B3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455</TotalTime>
  <Pages>12</Pages>
  <Words>5120</Words>
  <Characters>29188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Financial Audit Project Instructions v17</vt:lpstr>
    </vt:vector>
  </TitlesOfParts>
  <Company/>
  <LinksUpToDate>false</LinksUpToDate>
  <CharactersWithSpaces>34240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Audit Project Instructions v17</dc:title>
  <dc:creator>Audit Case Generator</dc:creator>
  <cp:lastModifiedBy>Joseph Hashem</cp:lastModifiedBy>
  <cp:revision>7</cp:revision>
  <dcterms:created xsi:type="dcterms:W3CDTF">2026-06-05T04:58:00Z</dcterms:created>
  <dcterms:modified xsi:type="dcterms:W3CDTF">2026-06-11T06:03:00Z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321b5f-a4ea-42e4-9273-2f91b9a1a708_Enabled">
    <vt:lpwstr>true</vt:lpwstr>
  </property>
  <property fmtid="{D5CDD505-2E9C-101B-9397-08002B2CF9AE}" pid="3" name="MSIP_Label_8d321b5f-a4ea-42e4-9273-2f91b9a1a708_SetDate">
    <vt:lpwstr>2026-06-08T21:20:24Z</vt:lpwstr>
  </property>
  <property fmtid="{D5CDD505-2E9C-101B-9397-08002B2CF9AE}" pid="4" name="MSIP_Label_8d321b5f-a4ea-42e4-9273-2f91b9a1a708_Method">
    <vt:lpwstr>Standard</vt:lpwstr>
  </property>
  <property fmtid="{D5CDD505-2E9C-101B-9397-08002B2CF9AE}" pid="5" name="MSIP_Label_8d321b5f-a4ea-42e4-9273-2f91b9a1a708_Name">
    <vt:lpwstr>Low Confidentiality - Green</vt:lpwstr>
  </property>
  <property fmtid="{D5CDD505-2E9C-101B-9397-08002B2CF9AE}" pid="6" name="MSIP_Label_8d321b5f-a4ea-42e4-9273-2f91b9a1a708_SiteId">
    <vt:lpwstr>c5b35b5a-16d5-4414-8ee1-7bde70543f1b</vt:lpwstr>
  </property>
  <property fmtid="{D5CDD505-2E9C-101B-9397-08002B2CF9AE}" pid="7" name="MSIP_Label_8d321b5f-a4ea-42e4-9273-2f91b9a1a708_ActionId">
    <vt:lpwstr>8bc648ba-f51a-4314-b8bb-39e2a84a51b4</vt:lpwstr>
  </property>
  <property fmtid="{D5CDD505-2E9C-101B-9397-08002B2CF9AE}" pid="8" name="MSIP_Label_8d321b5f-a4ea-42e4-9273-2f91b9a1a708_ContentBits">
    <vt:lpwstr>0</vt:lpwstr>
  </property>
  <property fmtid="{D5CDD505-2E9C-101B-9397-08002B2CF9AE}" pid="9" name="MSIP_Label_8d321b5f-a4ea-42e4-9273-2f91b9a1a708_Tag">
    <vt:lpwstr>10, 3, 0, 1</vt:lpwstr>
  </property>
</Properties>
</file>